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C9BD" w14:textId="12561D6E" w:rsidR="004D5236" w:rsidRPr="004D5236" w:rsidRDefault="004D5236" w:rsidP="001C7F4D">
      <w:pPr>
        <w:spacing w:after="0" w:line="240" w:lineRule="auto"/>
        <w:rPr>
          <w:rFonts w:ascii="Times New Roman" w:hAnsi="Times New Roman" w:cs="Times New Roman"/>
          <w:sz w:val="20"/>
          <w:szCs w:val="20"/>
        </w:rPr>
      </w:pPr>
    </w:p>
    <w:p w14:paraId="64850690" w14:textId="27EE5FE3" w:rsidR="001C7F4D" w:rsidRPr="00500889" w:rsidRDefault="00580183" w:rsidP="00652E75">
      <w:pPr>
        <w:spacing w:after="0" w:line="240" w:lineRule="auto"/>
        <w:jc w:val="right"/>
        <w:rPr>
          <w:rFonts w:ascii="Times New Roman" w:hAnsi="Times New Roman" w:cs="Times New Roman"/>
        </w:rPr>
      </w:pPr>
      <w:bookmarkStart w:id="0" w:name="_Hlk195272957"/>
      <w:r>
        <w:rPr>
          <w:rFonts w:ascii="Times New Roman" w:hAnsi="Times New Roman" w:cs="Times New Roman"/>
        </w:rPr>
        <w:t>July</w:t>
      </w:r>
      <w:r w:rsidR="00652E75">
        <w:rPr>
          <w:rFonts w:ascii="Times New Roman" w:hAnsi="Times New Roman" w:cs="Times New Roman"/>
        </w:rPr>
        <w:t xml:space="preserve"> 202</w:t>
      </w:r>
      <w:r w:rsidR="00D40FAB">
        <w:rPr>
          <w:rFonts w:ascii="Times New Roman" w:hAnsi="Times New Roman" w:cs="Times New Roman"/>
        </w:rPr>
        <w:t>5</w:t>
      </w:r>
    </w:p>
    <w:p w14:paraId="5E59B746" w14:textId="53D57120" w:rsidR="004D5236" w:rsidRDefault="004D5236" w:rsidP="001C7F4D">
      <w:pPr>
        <w:spacing w:after="0" w:line="240" w:lineRule="auto"/>
        <w:rPr>
          <w:rFonts w:ascii="Times New Roman" w:hAnsi="Times New Roman" w:cs="Times New Roman"/>
        </w:rPr>
      </w:pPr>
    </w:p>
    <w:p w14:paraId="32948CF7" w14:textId="4CAFA85F" w:rsidR="00F370F1" w:rsidRDefault="00A70890" w:rsidP="001C7F4D">
      <w:pPr>
        <w:spacing w:after="0" w:line="240" w:lineRule="auto"/>
        <w:rPr>
          <w:rFonts w:ascii="Times New Roman" w:hAnsi="Times New Roman" w:cs="Times New Roman"/>
        </w:rPr>
      </w:pPr>
      <w:r w:rsidRPr="0047153C">
        <w:rPr>
          <w:rFonts w:ascii="Times New Roman" w:hAnsi="Times New Roman" w:cs="Times New Roman"/>
        </w:rPr>
        <w:t xml:space="preserve">Dear </w:t>
      </w:r>
      <w:r w:rsidR="00F330AE" w:rsidRPr="0047153C">
        <w:rPr>
          <w:rFonts w:ascii="Times New Roman" w:hAnsi="Times New Roman" w:cs="Times New Roman"/>
        </w:rPr>
        <w:t>Turtle Creek Client</w:t>
      </w:r>
      <w:r w:rsidR="00CB780E" w:rsidRPr="0047153C">
        <w:rPr>
          <w:rFonts w:ascii="Times New Roman" w:hAnsi="Times New Roman" w:cs="Times New Roman"/>
        </w:rPr>
        <w:t xml:space="preserve">, </w:t>
      </w:r>
    </w:p>
    <w:p w14:paraId="3983ADB3" w14:textId="77777777" w:rsidR="00D26947" w:rsidRDefault="00D26947" w:rsidP="001C7F4D">
      <w:pPr>
        <w:spacing w:after="0" w:line="240" w:lineRule="auto"/>
        <w:rPr>
          <w:rFonts w:ascii="Times New Roman" w:hAnsi="Times New Roman" w:cs="Times New Roman"/>
        </w:rPr>
      </w:pPr>
    </w:p>
    <w:p w14:paraId="0914B59C" w14:textId="29E1C99A" w:rsidR="004969A5" w:rsidRDefault="00D26947" w:rsidP="00994F69">
      <w:pPr>
        <w:spacing w:after="0" w:line="240" w:lineRule="auto"/>
        <w:rPr>
          <w:rFonts w:ascii="Times New Roman" w:hAnsi="Times New Roman" w:cs="Times New Roman"/>
        </w:rPr>
      </w:pPr>
      <w:r>
        <w:rPr>
          <w:rFonts w:ascii="Times New Roman" w:hAnsi="Times New Roman" w:cs="Times New Roman"/>
        </w:rPr>
        <w:t xml:space="preserve">Global markets </w:t>
      </w:r>
      <w:r w:rsidR="004969A5">
        <w:rPr>
          <w:rFonts w:ascii="Times New Roman" w:hAnsi="Times New Roman" w:cs="Times New Roman"/>
        </w:rPr>
        <w:t>began</w:t>
      </w:r>
      <w:r w:rsidR="00495AF7">
        <w:rPr>
          <w:rFonts w:ascii="Times New Roman" w:hAnsi="Times New Roman" w:cs="Times New Roman"/>
        </w:rPr>
        <w:t xml:space="preserve"> the second quarter</w:t>
      </w:r>
      <w:r w:rsidR="00715F2C">
        <w:rPr>
          <w:rFonts w:ascii="Times New Roman" w:hAnsi="Times New Roman" w:cs="Times New Roman"/>
        </w:rPr>
        <w:t xml:space="preserve"> </w:t>
      </w:r>
      <w:r w:rsidR="0024744B">
        <w:rPr>
          <w:rFonts w:ascii="Times New Roman" w:hAnsi="Times New Roman" w:cs="Times New Roman"/>
        </w:rPr>
        <w:t xml:space="preserve">in a tailspin, </w:t>
      </w:r>
      <w:r>
        <w:rPr>
          <w:rFonts w:ascii="Times New Roman" w:hAnsi="Times New Roman" w:cs="Times New Roman"/>
        </w:rPr>
        <w:t>reeling from the shock news of the Trump Administration Liberation Day Tariff plan</w:t>
      </w:r>
      <w:r w:rsidR="0024744B">
        <w:rPr>
          <w:rFonts w:ascii="Times New Roman" w:hAnsi="Times New Roman" w:cs="Times New Roman"/>
        </w:rPr>
        <w:t xml:space="preserve">. </w:t>
      </w:r>
      <w:r w:rsidR="00F2610D">
        <w:rPr>
          <w:rFonts w:ascii="Times New Roman" w:hAnsi="Times New Roman" w:cs="Times New Roman"/>
        </w:rPr>
        <w:t>S</w:t>
      </w:r>
      <w:r w:rsidR="0024744B">
        <w:rPr>
          <w:rFonts w:ascii="Times New Roman" w:hAnsi="Times New Roman" w:cs="Times New Roman"/>
        </w:rPr>
        <w:t xml:space="preserve">ubsequent </w:t>
      </w:r>
      <w:r w:rsidR="00F2610D">
        <w:rPr>
          <w:rFonts w:ascii="Times New Roman" w:hAnsi="Times New Roman" w:cs="Times New Roman"/>
        </w:rPr>
        <w:t xml:space="preserve">events </w:t>
      </w:r>
      <w:r w:rsidR="0024744B">
        <w:rPr>
          <w:rFonts w:ascii="Times New Roman" w:hAnsi="Times New Roman" w:cs="Times New Roman"/>
        </w:rPr>
        <w:t xml:space="preserve">added even more </w:t>
      </w:r>
      <w:r w:rsidR="005C10F2">
        <w:rPr>
          <w:rFonts w:ascii="Times New Roman" w:hAnsi="Times New Roman" w:cs="Times New Roman"/>
        </w:rPr>
        <w:t>confusion</w:t>
      </w:r>
      <w:r w:rsidR="0024744B">
        <w:rPr>
          <w:rFonts w:ascii="Times New Roman" w:hAnsi="Times New Roman" w:cs="Times New Roman"/>
        </w:rPr>
        <w:t xml:space="preserve"> to </w:t>
      </w:r>
      <w:r w:rsidR="005C10F2">
        <w:rPr>
          <w:rFonts w:ascii="Times New Roman" w:hAnsi="Times New Roman" w:cs="Times New Roman"/>
        </w:rPr>
        <w:t xml:space="preserve">the </w:t>
      </w:r>
      <w:r w:rsidR="0024744B">
        <w:rPr>
          <w:rFonts w:ascii="Times New Roman" w:hAnsi="Times New Roman" w:cs="Times New Roman"/>
        </w:rPr>
        <w:t xml:space="preserve">macroeconomic and geopolitical </w:t>
      </w:r>
      <w:r w:rsidR="002C099A">
        <w:rPr>
          <w:rFonts w:ascii="Times New Roman" w:hAnsi="Times New Roman" w:cs="Times New Roman"/>
        </w:rPr>
        <w:t>backdrop</w:t>
      </w:r>
      <w:r w:rsidR="0024744B">
        <w:rPr>
          <w:rFonts w:ascii="Times New Roman" w:hAnsi="Times New Roman" w:cs="Times New Roman"/>
        </w:rPr>
        <w:t xml:space="preserve">, with open war breaking out in the Middle East and </w:t>
      </w:r>
      <w:r w:rsidR="004969A5">
        <w:rPr>
          <w:rFonts w:ascii="Times New Roman" w:hAnsi="Times New Roman" w:cs="Times New Roman"/>
        </w:rPr>
        <w:t xml:space="preserve">Congressional budgetary plans </w:t>
      </w:r>
      <w:r w:rsidR="0024744B">
        <w:rPr>
          <w:rFonts w:ascii="Times New Roman" w:hAnsi="Times New Roman" w:cs="Times New Roman"/>
        </w:rPr>
        <w:t>amplif</w:t>
      </w:r>
      <w:r w:rsidR="004969A5">
        <w:rPr>
          <w:rFonts w:ascii="Times New Roman" w:hAnsi="Times New Roman" w:cs="Times New Roman"/>
        </w:rPr>
        <w:t xml:space="preserve">ying U.S. </w:t>
      </w:r>
      <w:r w:rsidR="00FB66FE">
        <w:rPr>
          <w:rFonts w:ascii="Times New Roman" w:hAnsi="Times New Roman" w:cs="Times New Roman"/>
        </w:rPr>
        <w:t>d</w:t>
      </w:r>
      <w:r w:rsidR="004969A5">
        <w:rPr>
          <w:rFonts w:ascii="Times New Roman" w:hAnsi="Times New Roman" w:cs="Times New Roman"/>
        </w:rPr>
        <w:t>eficit concerns</w:t>
      </w:r>
      <w:r w:rsidR="00F2610D">
        <w:rPr>
          <w:rFonts w:ascii="Times New Roman" w:hAnsi="Times New Roman" w:cs="Times New Roman"/>
        </w:rPr>
        <w:t xml:space="preserve">. </w:t>
      </w:r>
      <w:r w:rsidR="004969A5">
        <w:rPr>
          <w:rFonts w:ascii="Times New Roman" w:hAnsi="Times New Roman" w:cs="Times New Roman"/>
        </w:rPr>
        <w:t>New e</w:t>
      </w:r>
      <w:r w:rsidR="002C099A">
        <w:rPr>
          <w:rFonts w:ascii="Times New Roman" w:hAnsi="Times New Roman" w:cs="Times New Roman"/>
        </w:rPr>
        <w:t xml:space="preserve">conomic data was largely negative during the quarter, displaying </w:t>
      </w:r>
      <w:r w:rsidR="00803828">
        <w:rPr>
          <w:rFonts w:ascii="Times New Roman" w:hAnsi="Times New Roman" w:cs="Times New Roman"/>
        </w:rPr>
        <w:t>downward</w:t>
      </w:r>
      <w:r w:rsidR="002C099A">
        <w:rPr>
          <w:rFonts w:ascii="Times New Roman" w:hAnsi="Times New Roman" w:cs="Times New Roman"/>
        </w:rPr>
        <w:t xml:space="preserve"> revisions in earnings forecasts, declines in gross domestic product and consumer spending, and depressed consumer sentiment readings. </w:t>
      </w:r>
      <w:r w:rsidR="001A2DDD">
        <w:rPr>
          <w:rFonts w:ascii="Times New Roman" w:hAnsi="Times New Roman" w:cs="Times New Roman"/>
        </w:rPr>
        <w:t>D</w:t>
      </w:r>
      <w:r w:rsidR="00C31391">
        <w:rPr>
          <w:rFonts w:ascii="Times New Roman" w:hAnsi="Times New Roman" w:cs="Times New Roman"/>
        </w:rPr>
        <w:t xml:space="preserve">espite </w:t>
      </w:r>
      <w:r w:rsidR="002C099A">
        <w:rPr>
          <w:rFonts w:ascii="Times New Roman" w:hAnsi="Times New Roman" w:cs="Times New Roman"/>
        </w:rPr>
        <w:t xml:space="preserve">all these headwinds and </w:t>
      </w:r>
      <w:r w:rsidR="005C10F2">
        <w:rPr>
          <w:rFonts w:ascii="Times New Roman" w:hAnsi="Times New Roman" w:cs="Times New Roman"/>
        </w:rPr>
        <w:t>uncertainties, global stock markets delivered a</w:t>
      </w:r>
      <w:r w:rsidR="00C31391">
        <w:rPr>
          <w:rFonts w:ascii="Times New Roman" w:hAnsi="Times New Roman" w:cs="Times New Roman"/>
        </w:rPr>
        <w:t xml:space="preserve"> powerful </w:t>
      </w:r>
      <w:r w:rsidR="005C10F2">
        <w:rPr>
          <w:rFonts w:ascii="Times New Roman" w:hAnsi="Times New Roman" w:cs="Times New Roman"/>
        </w:rPr>
        <w:t>and steady recovery from their lows of early April, with the S&amp;P 500 index reaching new highs by quarter</w:t>
      </w:r>
      <w:r w:rsidR="004969A5">
        <w:rPr>
          <w:rFonts w:ascii="Times New Roman" w:hAnsi="Times New Roman" w:cs="Times New Roman"/>
        </w:rPr>
        <w:t>-</w:t>
      </w:r>
      <w:r w:rsidR="005C10F2">
        <w:rPr>
          <w:rFonts w:ascii="Times New Roman" w:hAnsi="Times New Roman" w:cs="Times New Roman"/>
        </w:rPr>
        <w:t xml:space="preserve">end and international markets sustaining outsized performance year to date. </w:t>
      </w:r>
      <w:r w:rsidR="00C31391">
        <w:rPr>
          <w:rFonts w:ascii="Times New Roman" w:hAnsi="Times New Roman" w:cs="Times New Roman"/>
        </w:rPr>
        <w:t xml:space="preserve">The robustness of the recovery flummoxed </w:t>
      </w:r>
      <w:r w:rsidR="001C5E11">
        <w:rPr>
          <w:rFonts w:ascii="Times New Roman" w:hAnsi="Times New Roman" w:cs="Times New Roman"/>
        </w:rPr>
        <w:t>most market analysts</w:t>
      </w:r>
      <w:r w:rsidR="00850C87">
        <w:rPr>
          <w:rFonts w:ascii="Times New Roman" w:hAnsi="Times New Roman" w:cs="Times New Roman"/>
        </w:rPr>
        <w:t xml:space="preserve">, </w:t>
      </w:r>
      <w:r w:rsidR="001C5E11">
        <w:rPr>
          <w:rFonts w:ascii="Times New Roman" w:hAnsi="Times New Roman" w:cs="Times New Roman"/>
        </w:rPr>
        <w:t>result</w:t>
      </w:r>
      <w:r w:rsidR="00850C87">
        <w:rPr>
          <w:rFonts w:ascii="Times New Roman" w:hAnsi="Times New Roman" w:cs="Times New Roman"/>
        </w:rPr>
        <w:t>ing</w:t>
      </w:r>
      <w:r w:rsidR="001C5E11">
        <w:rPr>
          <w:rFonts w:ascii="Times New Roman" w:hAnsi="Times New Roman" w:cs="Times New Roman"/>
        </w:rPr>
        <w:t xml:space="preserve"> in a wide-ranging debate as to </w:t>
      </w:r>
      <w:r w:rsidR="00B87F55">
        <w:rPr>
          <w:rFonts w:ascii="Times New Roman" w:hAnsi="Times New Roman" w:cs="Times New Roman"/>
        </w:rPr>
        <w:t xml:space="preserve">just </w:t>
      </w:r>
      <w:r w:rsidR="001C5E11">
        <w:rPr>
          <w:rFonts w:ascii="Times New Roman" w:hAnsi="Times New Roman" w:cs="Times New Roman"/>
        </w:rPr>
        <w:t xml:space="preserve">why investors remain bullish </w:t>
      </w:r>
      <w:r w:rsidR="00B87F55">
        <w:rPr>
          <w:rFonts w:ascii="Times New Roman" w:hAnsi="Times New Roman" w:cs="Times New Roman"/>
        </w:rPr>
        <w:t>in the face of ongoing</w:t>
      </w:r>
      <w:r w:rsidR="00850C87">
        <w:rPr>
          <w:rFonts w:ascii="Times New Roman" w:hAnsi="Times New Roman" w:cs="Times New Roman"/>
        </w:rPr>
        <w:t xml:space="preserve"> and </w:t>
      </w:r>
      <w:r w:rsidR="00B87F55">
        <w:rPr>
          <w:rFonts w:ascii="Times New Roman" w:hAnsi="Times New Roman" w:cs="Times New Roman"/>
        </w:rPr>
        <w:t>elevated risk.</w:t>
      </w:r>
      <w:r w:rsidR="00850C87">
        <w:rPr>
          <w:rFonts w:ascii="Times New Roman" w:hAnsi="Times New Roman" w:cs="Times New Roman"/>
        </w:rPr>
        <w:t xml:space="preserve"> </w:t>
      </w:r>
    </w:p>
    <w:p w14:paraId="461A7AB8" w14:textId="77777777" w:rsidR="004969A5" w:rsidRDefault="004969A5" w:rsidP="00994F69">
      <w:pPr>
        <w:spacing w:after="0" w:line="240" w:lineRule="auto"/>
        <w:rPr>
          <w:rFonts w:ascii="Times New Roman" w:hAnsi="Times New Roman" w:cs="Times New Roman"/>
        </w:rPr>
      </w:pPr>
    </w:p>
    <w:p w14:paraId="4E682E48" w14:textId="53E565D4" w:rsidR="00E0622F" w:rsidRDefault="00850C87" w:rsidP="00894AC7">
      <w:pPr>
        <w:spacing w:after="0" w:line="240" w:lineRule="auto"/>
        <w:rPr>
          <w:rFonts w:ascii="Times New Roman" w:hAnsi="Times New Roman" w:cs="Times New Roman"/>
        </w:rPr>
      </w:pPr>
      <w:r>
        <w:rPr>
          <w:rFonts w:ascii="Times New Roman" w:hAnsi="Times New Roman" w:cs="Times New Roman"/>
        </w:rPr>
        <w:t xml:space="preserve">The investment team at Turtle Creek Trust acknowledges that the very worst </w:t>
      </w:r>
      <w:r w:rsidR="00803828">
        <w:rPr>
          <w:rFonts w:ascii="Times New Roman" w:hAnsi="Times New Roman" w:cs="Times New Roman"/>
        </w:rPr>
        <w:t xml:space="preserve">does </w:t>
      </w:r>
      <w:r>
        <w:rPr>
          <w:rFonts w:ascii="Times New Roman" w:hAnsi="Times New Roman" w:cs="Times New Roman"/>
        </w:rPr>
        <w:t xml:space="preserve">seem to be past due to the Trump Administration’s </w:t>
      </w:r>
      <w:r w:rsidR="004969A5">
        <w:rPr>
          <w:rFonts w:ascii="Times New Roman" w:hAnsi="Times New Roman" w:cs="Times New Roman"/>
        </w:rPr>
        <w:t xml:space="preserve">quick </w:t>
      </w:r>
      <w:r>
        <w:rPr>
          <w:rFonts w:ascii="Times New Roman" w:hAnsi="Times New Roman" w:cs="Times New Roman"/>
        </w:rPr>
        <w:t xml:space="preserve">walk-back of the most draconian </w:t>
      </w:r>
      <w:r w:rsidR="004969A5">
        <w:rPr>
          <w:rFonts w:ascii="Times New Roman" w:hAnsi="Times New Roman" w:cs="Times New Roman"/>
        </w:rPr>
        <w:t xml:space="preserve">trade </w:t>
      </w:r>
      <w:r>
        <w:rPr>
          <w:rFonts w:ascii="Times New Roman" w:hAnsi="Times New Roman" w:cs="Times New Roman"/>
        </w:rPr>
        <w:t>measures that shocked markets in early April</w:t>
      </w:r>
      <w:r w:rsidR="004969A5">
        <w:rPr>
          <w:rFonts w:ascii="Times New Roman" w:hAnsi="Times New Roman" w:cs="Times New Roman"/>
        </w:rPr>
        <w:t>. W</w:t>
      </w:r>
      <w:r>
        <w:rPr>
          <w:rFonts w:ascii="Times New Roman" w:hAnsi="Times New Roman" w:cs="Times New Roman"/>
        </w:rPr>
        <w:t xml:space="preserve">e </w:t>
      </w:r>
      <w:r w:rsidR="004969A5">
        <w:rPr>
          <w:rFonts w:ascii="Times New Roman" w:hAnsi="Times New Roman" w:cs="Times New Roman"/>
        </w:rPr>
        <w:t xml:space="preserve">do remain </w:t>
      </w:r>
      <w:r>
        <w:rPr>
          <w:rFonts w:ascii="Times New Roman" w:hAnsi="Times New Roman" w:cs="Times New Roman"/>
        </w:rPr>
        <w:t xml:space="preserve">mindful of the </w:t>
      </w:r>
      <w:r w:rsidR="00580183">
        <w:rPr>
          <w:rFonts w:ascii="Times New Roman" w:hAnsi="Times New Roman" w:cs="Times New Roman"/>
        </w:rPr>
        <w:t xml:space="preserve">many </w:t>
      </w:r>
      <w:r>
        <w:rPr>
          <w:rFonts w:ascii="Times New Roman" w:hAnsi="Times New Roman" w:cs="Times New Roman"/>
        </w:rPr>
        <w:t>risks that remain</w:t>
      </w:r>
      <w:r w:rsidR="004969A5">
        <w:rPr>
          <w:rFonts w:ascii="Times New Roman" w:hAnsi="Times New Roman" w:cs="Times New Roman"/>
        </w:rPr>
        <w:t xml:space="preserve">, however, </w:t>
      </w:r>
      <w:r>
        <w:rPr>
          <w:rFonts w:ascii="Times New Roman" w:hAnsi="Times New Roman" w:cs="Times New Roman"/>
        </w:rPr>
        <w:t>while being less enthusiastic</w:t>
      </w:r>
      <w:r w:rsidR="00580183">
        <w:rPr>
          <w:rFonts w:ascii="Times New Roman" w:hAnsi="Times New Roman" w:cs="Times New Roman"/>
        </w:rPr>
        <w:t xml:space="preserve"> about market valuations</w:t>
      </w:r>
      <w:r>
        <w:rPr>
          <w:rFonts w:ascii="Times New Roman" w:hAnsi="Times New Roman" w:cs="Times New Roman"/>
        </w:rPr>
        <w:t xml:space="preserve"> after such a strong</w:t>
      </w:r>
      <w:r w:rsidR="00580183">
        <w:rPr>
          <w:rFonts w:ascii="Times New Roman" w:hAnsi="Times New Roman" w:cs="Times New Roman"/>
        </w:rPr>
        <w:t xml:space="preserve"> rebound in asset prices. We </w:t>
      </w:r>
      <w:r w:rsidR="004969A5">
        <w:rPr>
          <w:rFonts w:ascii="Times New Roman" w:hAnsi="Times New Roman" w:cs="Times New Roman"/>
        </w:rPr>
        <w:t xml:space="preserve">have </w:t>
      </w:r>
      <w:r w:rsidR="00580183">
        <w:rPr>
          <w:rFonts w:ascii="Times New Roman" w:hAnsi="Times New Roman" w:cs="Times New Roman"/>
        </w:rPr>
        <w:t xml:space="preserve">urged you to deploy a bear market playbook </w:t>
      </w:r>
      <w:r w:rsidR="00803828">
        <w:rPr>
          <w:rFonts w:ascii="Times New Roman" w:hAnsi="Times New Roman" w:cs="Times New Roman"/>
        </w:rPr>
        <w:t xml:space="preserve">in light of recent events </w:t>
      </w:r>
      <w:r w:rsidR="00580183">
        <w:rPr>
          <w:rFonts w:ascii="Times New Roman" w:hAnsi="Times New Roman" w:cs="Times New Roman"/>
        </w:rPr>
        <w:t xml:space="preserve">and, even though many markets </w:t>
      </w:r>
      <w:r w:rsidR="00E26AAD">
        <w:rPr>
          <w:rFonts w:ascii="Times New Roman" w:hAnsi="Times New Roman" w:cs="Times New Roman"/>
        </w:rPr>
        <w:t>never reached</w:t>
      </w:r>
      <w:r w:rsidR="00580183">
        <w:rPr>
          <w:rFonts w:ascii="Times New Roman" w:hAnsi="Times New Roman" w:cs="Times New Roman"/>
        </w:rPr>
        <w:t xml:space="preserve"> bear market territory and have since rebounded, we think th</w:t>
      </w:r>
      <w:r w:rsidR="00770C04">
        <w:rPr>
          <w:rFonts w:ascii="Times New Roman" w:hAnsi="Times New Roman" w:cs="Times New Roman"/>
        </w:rPr>
        <w:t>at</w:t>
      </w:r>
      <w:r w:rsidR="00580183">
        <w:rPr>
          <w:rFonts w:ascii="Times New Roman" w:hAnsi="Times New Roman" w:cs="Times New Roman"/>
        </w:rPr>
        <w:t xml:space="preserve"> </w:t>
      </w:r>
      <w:r w:rsidR="00770C04">
        <w:rPr>
          <w:rFonts w:ascii="Times New Roman" w:hAnsi="Times New Roman" w:cs="Times New Roman"/>
        </w:rPr>
        <w:t>stance</w:t>
      </w:r>
      <w:r w:rsidR="00580183">
        <w:rPr>
          <w:rFonts w:ascii="Times New Roman" w:hAnsi="Times New Roman" w:cs="Times New Roman"/>
        </w:rPr>
        <w:t xml:space="preserve"> remains the best </w:t>
      </w:r>
      <w:r w:rsidR="00994F69">
        <w:rPr>
          <w:rFonts w:ascii="Times New Roman" w:hAnsi="Times New Roman" w:cs="Times New Roman"/>
        </w:rPr>
        <w:t xml:space="preserve">one at the current juncture. Investors should use </w:t>
      </w:r>
      <w:r w:rsidR="00595704">
        <w:rPr>
          <w:rFonts w:ascii="Times New Roman" w:hAnsi="Times New Roman" w:cs="Times New Roman"/>
        </w:rPr>
        <w:t xml:space="preserve">the recent market recovery to rebalance back into their investment plan, </w:t>
      </w:r>
      <w:r w:rsidR="001A2DDD">
        <w:rPr>
          <w:rFonts w:ascii="Times New Roman" w:hAnsi="Times New Roman" w:cs="Times New Roman"/>
        </w:rPr>
        <w:t xml:space="preserve">trim </w:t>
      </w:r>
      <w:r w:rsidR="004969A5">
        <w:rPr>
          <w:rFonts w:ascii="Times New Roman" w:hAnsi="Times New Roman" w:cs="Times New Roman"/>
        </w:rPr>
        <w:t xml:space="preserve">winners that looked </w:t>
      </w:r>
      <w:r w:rsidR="001A2DDD">
        <w:rPr>
          <w:rFonts w:ascii="Times New Roman" w:hAnsi="Times New Roman" w:cs="Times New Roman"/>
        </w:rPr>
        <w:t>over</w:t>
      </w:r>
      <w:r w:rsidR="004969A5">
        <w:rPr>
          <w:rFonts w:ascii="Times New Roman" w:hAnsi="Times New Roman" w:cs="Times New Roman"/>
        </w:rPr>
        <w:t xml:space="preserve">valued, and fund any near-term obligations while markets remain in an optimistic mood. </w:t>
      </w:r>
      <w:r w:rsidR="00894AC7">
        <w:rPr>
          <w:rFonts w:ascii="Times New Roman" w:hAnsi="Times New Roman" w:cs="Times New Roman"/>
        </w:rPr>
        <w:t>The current mix of anxious consumers</w:t>
      </w:r>
      <w:r w:rsidR="008C6893">
        <w:rPr>
          <w:rFonts w:ascii="Times New Roman" w:hAnsi="Times New Roman" w:cs="Times New Roman"/>
        </w:rPr>
        <w:t xml:space="preserve">, </w:t>
      </w:r>
      <w:r w:rsidR="00894AC7">
        <w:rPr>
          <w:rFonts w:ascii="Times New Roman" w:hAnsi="Times New Roman" w:cs="Times New Roman"/>
        </w:rPr>
        <w:t>slowing business investment, and still</w:t>
      </w:r>
      <w:r w:rsidR="008C6893">
        <w:rPr>
          <w:rFonts w:ascii="Times New Roman" w:hAnsi="Times New Roman" w:cs="Times New Roman"/>
        </w:rPr>
        <w:t>-</w:t>
      </w:r>
      <w:r w:rsidR="00894AC7">
        <w:rPr>
          <w:rFonts w:ascii="Times New Roman" w:hAnsi="Times New Roman" w:cs="Times New Roman"/>
        </w:rPr>
        <w:t xml:space="preserve">elevated uncertainty could still stoke market volatility in the second half of the year. </w:t>
      </w:r>
    </w:p>
    <w:p w14:paraId="4E7E5EE4" w14:textId="77777777" w:rsidR="00894AC7" w:rsidRDefault="00894AC7" w:rsidP="00894AC7">
      <w:pPr>
        <w:spacing w:after="0" w:line="240" w:lineRule="auto"/>
        <w:rPr>
          <w:noProof/>
        </w:rPr>
      </w:pPr>
    </w:p>
    <w:p w14:paraId="4DFEF83A" w14:textId="4A9FB9FB" w:rsidR="00967625" w:rsidRDefault="00D26947" w:rsidP="00532BC2">
      <w:pPr>
        <w:pStyle w:val="Default"/>
        <w:jc w:val="center"/>
        <w:rPr>
          <w:sz w:val="22"/>
          <w:szCs w:val="22"/>
        </w:rPr>
      </w:pPr>
      <w:r>
        <w:rPr>
          <w:noProof/>
          <w:sz w:val="22"/>
          <w:szCs w:val="22"/>
        </w:rPr>
        <w:drawing>
          <wp:inline distT="0" distB="0" distL="0" distR="0" wp14:anchorId="6724E5F5" wp14:editId="32B79160">
            <wp:extent cx="5718019" cy="3179855"/>
            <wp:effectExtent l="0" t="0" r="0" b="1905"/>
            <wp:docPr id="1951193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1376" cy="3226211"/>
                    </a:xfrm>
                    <a:prstGeom prst="rect">
                      <a:avLst/>
                    </a:prstGeom>
                    <a:noFill/>
                  </pic:spPr>
                </pic:pic>
              </a:graphicData>
            </a:graphic>
          </wp:inline>
        </w:drawing>
      </w:r>
    </w:p>
    <w:p w14:paraId="385D8216" w14:textId="7E383C24" w:rsidR="0026766A" w:rsidRDefault="0026766A" w:rsidP="00E0622F">
      <w:pPr>
        <w:pStyle w:val="Default"/>
        <w:rPr>
          <w:i/>
          <w:iCs/>
          <w:sz w:val="20"/>
          <w:szCs w:val="20"/>
        </w:rPr>
      </w:pPr>
      <w:r w:rsidRPr="00580079">
        <w:rPr>
          <w:i/>
          <w:iCs/>
          <w:sz w:val="20"/>
          <w:szCs w:val="20"/>
        </w:rPr>
        <w:t>Source: Bloomberg</w:t>
      </w:r>
    </w:p>
    <w:p w14:paraId="0E278CA8" w14:textId="352E94AE" w:rsidR="000D5B73" w:rsidRDefault="00AB7AAA" w:rsidP="000C7F30">
      <w:pPr>
        <w:pStyle w:val="Default"/>
        <w:jc w:val="center"/>
        <w:rPr>
          <w:b/>
          <w:bCs/>
          <w:sz w:val="22"/>
          <w:szCs w:val="22"/>
          <w:u w:val="single"/>
        </w:rPr>
      </w:pPr>
      <w:r>
        <w:rPr>
          <w:b/>
          <w:bCs/>
          <w:sz w:val="22"/>
          <w:szCs w:val="22"/>
          <w:u w:val="single"/>
        </w:rPr>
        <w:lastRenderedPageBreak/>
        <w:t>Second</w:t>
      </w:r>
      <w:r w:rsidR="001D2009">
        <w:rPr>
          <w:b/>
          <w:bCs/>
          <w:sz w:val="22"/>
          <w:szCs w:val="22"/>
          <w:u w:val="single"/>
        </w:rPr>
        <w:t xml:space="preserve"> Quarter Stock Performance</w:t>
      </w:r>
    </w:p>
    <w:p w14:paraId="662DEE62" w14:textId="77777777" w:rsidR="001D2009" w:rsidRDefault="001D2009" w:rsidP="000C7F30">
      <w:pPr>
        <w:pStyle w:val="Default"/>
        <w:jc w:val="center"/>
        <w:rPr>
          <w:b/>
          <w:bCs/>
          <w:sz w:val="22"/>
          <w:szCs w:val="22"/>
          <w:u w:val="single"/>
        </w:rPr>
      </w:pPr>
    </w:p>
    <w:p w14:paraId="41510BAB" w14:textId="033E7CCA" w:rsidR="001D2009" w:rsidRDefault="001010A3" w:rsidP="001D2009">
      <w:pPr>
        <w:pStyle w:val="Default"/>
        <w:rPr>
          <w:sz w:val="22"/>
          <w:szCs w:val="22"/>
        </w:rPr>
      </w:pPr>
      <w:r>
        <w:rPr>
          <w:sz w:val="22"/>
          <w:szCs w:val="22"/>
        </w:rPr>
        <w:t xml:space="preserve">U.S. stocks </w:t>
      </w:r>
      <w:r w:rsidR="00142F78">
        <w:rPr>
          <w:sz w:val="22"/>
          <w:szCs w:val="22"/>
        </w:rPr>
        <w:t>advanced approximately 12% in the quarter</w:t>
      </w:r>
      <w:r w:rsidR="0033248F">
        <w:rPr>
          <w:sz w:val="22"/>
          <w:szCs w:val="22"/>
        </w:rPr>
        <w:t xml:space="preserve">, </w:t>
      </w:r>
      <w:r w:rsidR="001223D3">
        <w:rPr>
          <w:sz w:val="22"/>
          <w:szCs w:val="22"/>
        </w:rPr>
        <w:t xml:space="preserve">with most economic sectors posting positive gains. </w:t>
      </w:r>
      <w:r w:rsidR="0033248F">
        <w:rPr>
          <w:sz w:val="22"/>
          <w:szCs w:val="22"/>
        </w:rPr>
        <w:t xml:space="preserve">The Artificial Intelligence trade </w:t>
      </w:r>
      <w:r w:rsidR="004969A5">
        <w:rPr>
          <w:sz w:val="22"/>
          <w:szCs w:val="22"/>
        </w:rPr>
        <w:t>returned</w:t>
      </w:r>
      <w:r w:rsidR="0033248F">
        <w:rPr>
          <w:sz w:val="22"/>
          <w:szCs w:val="22"/>
        </w:rPr>
        <w:t xml:space="preserve"> to prominence during the </w:t>
      </w:r>
      <w:r w:rsidR="008C6893">
        <w:rPr>
          <w:sz w:val="22"/>
          <w:szCs w:val="22"/>
        </w:rPr>
        <w:t>period</w:t>
      </w:r>
      <w:r w:rsidR="00894AC7">
        <w:rPr>
          <w:sz w:val="22"/>
          <w:szCs w:val="22"/>
        </w:rPr>
        <w:t xml:space="preserve">, </w:t>
      </w:r>
      <w:r w:rsidR="002A0323">
        <w:rPr>
          <w:sz w:val="22"/>
          <w:szCs w:val="22"/>
        </w:rPr>
        <w:t xml:space="preserve">recovering quickly from its first quarter swoon and </w:t>
      </w:r>
      <w:r w:rsidR="00894AC7">
        <w:rPr>
          <w:sz w:val="22"/>
          <w:szCs w:val="22"/>
        </w:rPr>
        <w:t xml:space="preserve">driving both the </w:t>
      </w:r>
      <w:r w:rsidR="008C6893">
        <w:rPr>
          <w:sz w:val="22"/>
          <w:szCs w:val="22"/>
        </w:rPr>
        <w:t>Information T</w:t>
      </w:r>
      <w:r w:rsidR="00894AC7">
        <w:rPr>
          <w:sz w:val="22"/>
          <w:szCs w:val="22"/>
        </w:rPr>
        <w:t xml:space="preserve">echnology and Communications sectors to market leading gains. Industrial stocks also outpaced the market, </w:t>
      </w:r>
      <w:r w:rsidR="00323A3B">
        <w:rPr>
          <w:sz w:val="22"/>
          <w:szCs w:val="22"/>
        </w:rPr>
        <w:t>as</w:t>
      </w:r>
      <w:r w:rsidR="00FB66FE">
        <w:rPr>
          <w:sz w:val="22"/>
          <w:szCs w:val="22"/>
        </w:rPr>
        <w:t xml:space="preserve"> defense companies </w:t>
      </w:r>
      <w:r w:rsidR="00323A3B">
        <w:rPr>
          <w:sz w:val="22"/>
          <w:szCs w:val="22"/>
        </w:rPr>
        <w:t xml:space="preserve">rallied on increasing </w:t>
      </w:r>
      <w:r w:rsidR="00803828">
        <w:rPr>
          <w:sz w:val="22"/>
          <w:szCs w:val="22"/>
        </w:rPr>
        <w:t>M</w:t>
      </w:r>
      <w:r w:rsidR="00323A3B">
        <w:rPr>
          <w:sz w:val="22"/>
          <w:szCs w:val="22"/>
        </w:rPr>
        <w:t xml:space="preserve">iddle </w:t>
      </w:r>
      <w:r w:rsidR="00803828">
        <w:rPr>
          <w:sz w:val="22"/>
          <w:szCs w:val="22"/>
        </w:rPr>
        <w:t>E</w:t>
      </w:r>
      <w:r w:rsidR="00323A3B">
        <w:rPr>
          <w:sz w:val="22"/>
          <w:szCs w:val="22"/>
        </w:rPr>
        <w:t xml:space="preserve">astern conflict and </w:t>
      </w:r>
      <w:r w:rsidR="00803828">
        <w:rPr>
          <w:sz w:val="22"/>
          <w:szCs w:val="22"/>
        </w:rPr>
        <w:t>A</w:t>
      </w:r>
      <w:r w:rsidR="00F84F68">
        <w:rPr>
          <w:sz w:val="22"/>
          <w:szCs w:val="22"/>
        </w:rPr>
        <w:t xml:space="preserve">erospace and </w:t>
      </w:r>
      <w:r w:rsidR="00803828">
        <w:rPr>
          <w:sz w:val="22"/>
          <w:szCs w:val="22"/>
        </w:rPr>
        <w:t>M</w:t>
      </w:r>
      <w:r w:rsidR="00F84F68">
        <w:rPr>
          <w:sz w:val="22"/>
          <w:szCs w:val="22"/>
        </w:rPr>
        <w:t>anufacturing firms post</w:t>
      </w:r>
      <w:r w:rsidR="00ED3A37">
        <w:rPr>
          <w:sz w:val="22"/>
          <w:szCs w:val="22"/>
        </w:rPr>
        <w:t>ed</w:t>
      </w:r>
      <w:r w:rsidR="00F84F68">
        <w:rPr>
          <w:sz w:val="22"/>
          <w:szCs w:val="22"/>
        </w:rPr>
        <w:t xml:space="preserve"> strong earnings. </w:t>
      </w:r>
    </w:p>
    <w:p w14:paraId="52E6457B" w14:textId="77777777" w:rsidR="00F84F68" w:rsidRDefault="00F84F68" w:rsidP="001D2009">
      <w:pPr>
        <w:pStyle w:val="Default"/>
        <w:rPr>
          <w:sz w:val="22"/>
          <w:szCs w:val="22"/>
        </w:rPr>
      </w:pPr>
    </w:p>
    <w:p w14:paraId="2C220468" w14:textId="6FA92A1E" w:rsidR="00F84F68" w:rsidRDefault="00F84F68" w:rsidP="001D2009">
      <w:pPr>
        <w:pStyle w:val="Default"/>
        <w:rPr>
          <w:sz w:val="22"/>
          <w:szCs w:val="22"/>
        </w:rPr>
      </w:pPr>
      <w:r>
        <w:rPr>
          <w:sz w:val="22"/>
          <w:szCs w:val="22"/>
        </w:rPr>
        <w:t>Energy, Health Care, Real Estate, and Consumer Staples</w:t>
      </w:r>
      <w:r w:rsidR="00654B4A">
        <w:rPr>
          <w:sz w:val="22"/>
          <w:szCs w:val="22"/>
        </w:rPr>
        <w:t xml:space="preserve"> stocks were market laggards. Health </w:t>
      </w:r>
      <w:r w:rsidR="00826D1F">
        <w:rPr>
          <w:sz w:val="22"/>
          <w:szCs w:val="22"/>
        </w:rPr>
        <w:t>i</w:t>
      </w:r>
      <w:r w:rsidR="00654B4A">
        <w:rPr>
          <w:sz w:val="22"/>
          <w:szCs w:val="22"/>
        </w:rPr>
        <w:t xml:space="preserve">nsurers and </w:t>
      </w:r>
      <w:r w:rsidR="00826D1F">
        <w:rPr>
          <w:sz w:val="22"/>
          <w:szCs w:val="22"/>
        </w:rPr>
        <w:t>p</w:t>
      </w:r>
      <w:r w:rsidR="00654B4A">
        <w:rPr>
          <w:sz w:val="22"/>
          <w:szCs w:val="22"/>
        </w:rPr>
        <w:t xml:space="preserve">harmaceutical companies </w:t>
      </w:r>
      <w:r w:rsidR="00F17678">
        <w:rPr>
          <w:sz w:val="22"/>
          <w:szCs w:val="22"/>
        </w:rPr>
        <w:t xml:space="preserve">suffered from </w:t>
      </w:r>
      <w:r w:rsidR="00654B4A">
        <w:rPr>
          <w:sz w:val="22"/>
          <w:szCs w:val="22"/>
        </w:rPr>
        <w:t>heightened regulatory concerns</w:t>
      </w:r>
      <w:r w:rsidR="000419B6">
        <w:rPr>
          <w:sz w:val="22"/>
          <w:szCs w:val="22"/>
        </w:rPr>
        <w:t xml:space="preserve"> </w:t>
      </w:r>
      <w:r w:rsidR="00654B4A">
        <w:rPr>
          <w:sz w:val="22"/>
          <w:szCs w:val="22"/>
        </w:rPr>
        <w:t xml:space="preserve">and the potentially negative impact of Medicare and Medicaid reimbursement cuts in the latest </w:t>
      </w:r>
      <w:r w:rsidR="00803828">
        <w:rPr>
          <w:sz w:val="22"/>
          <w:szCs w:val="22"/>
        </w:rPr>
        <w:t xml:space="preserve">congressional </w:t>
      </w:r>
      <w:r w:rsidR="00654B4A">
        <w:rPr>
          <w:sz w:val="22"/>
          <w:szCs w:val="22"/>
        </w:rPr>
        <w:t xml:space="preserve">budget bill. </w:t>
      </w:r>
      <w:r w:rsidR="000419B6">
        <w:rPr>
          <w:sz w:val="22"/>
          <w:szCs w:val="22"/>
        </w:rPr>
        <w:t xml:space="preserve">Energy </w:t>
      </w:r>
      <w:r w:rsidR="00F17678">
        <w:rPr>
          <w:sz w:val="22"/>
          <w:szCs w:val="22"/>
        </w:rPr>
        <w:t>s</w:t>
      </w:r>
      <w:r w:rsidR="000419B6">
        <w:rPr>
          <w:sz w:val="22"/>
          <w:szCs w:val="22"/>
        </w:rPr>
        <w:t>tocks reacted negatively to declining commodity prices as global oil prod</w:t>
      </w:r>
      <w:r w:rsidR="00803828">
        <w:rPr>
          <w:sz w:val="22"/>
          <w:szCs w:val="22"/>
        </w:rPr>
        <w:t>ucers</w:t>
      </w:r>
      <w:r w:rsidR="000419B6">
        <w:rPr>
          <w:sz w:val="22"/>
          <w:szCs w:val="22"/>
        </w:rPr>
        <w:t xml:space="preserve"> continue to </w:t>
      </w:r>
      <w:r w:rsidR="00E26AAD">
        <w:rPr>
          <w:sz w:val="22"/>
          <w:szCs w:val="22"/>
        </w:rPr>
        <w:t>build</w:t>
      </w:r>
      <w:r w:rsidR="000419B6">
        <w:rPr>
          <w:sz w:val="22"/>
          <w:szCs w:val="22"/>
        </w:rPr>
        <w:t xml:space="preserve"> excess supply while demand remain</w:t>
      </w:r>
      <w:r w:rsidR="00770C04">
        <w:rPr>
          <w:sz w:val="22"/>
          <w:szCs w:val="22"/>
        </w:rPr>
        <w:t>s</w:t>
      </w:r>
      <w:r w:rsidR="000419B6">
        <w:rPr>
          <w:sz w:val="22"/>
          <w:szCs w:val="22"/>
        </w:rPr>
        <w:t xml:space="preserve"> muted. </w:t>
      </w:r>
    </w:p>
    <w:p w14:paraId="10DD9ECF" w14:textId="77777777" w:rsidR="001B09D2" w:rsidRDefault="001B09D2" w:rsidP="001D2009">
      <w:pPr>
        <w:pStyle w:val="Default"/>
        <w:rPr>
          <w:sz w:val="22"/>
          <w:szCs w:val="22"/>
        </w:rPr>
      </w:pPr>
    </w:p>
    <w:p w14:paraId="54DCD1D1" w14:textId="5EF336DC" w:rsidR="00CE7406" w:rsidRDefault="001010A3" w:rsidP="00A960DE">
      <w:pPr>
        <w:pStyle w:val="Default"/>
        <w:jc w:val="center"/>
        <w:rPr>
          <w:sz w:val="22"/>
          <w:szCs w:val="22"/>
        </w:rPr>
      </w:pPr>
      <w:r>
        <w:rPr>
          <w:noProof/>
          <w:sz w:val="22"/>
          <w:szCs w:val="22"/>
        </w:rPr>
        <w:drawing>
          <wp:inline distT="0" distB="0" distL="0" distR="0" wp14:anchorId="30940930" wp14:editId="5676DF53">
            <wp:extent cx="5577818" cy="3549650"/>
            <wp:effectExtent l="0" t="0" r="4445" b="0"/>
            <wp:docPr id="540112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9612" cy="3588975"/>
                    </a:xfrm>
                    <a:prstGeom prst="rect">
                      <a:avLst/>
                    </a:prstGeom>
                    <a:noFill/>
                  </pic:spPr>
                </pic:pic>
              </a:graphicData>
            </a:graphic>
          </wp:inline>
        </w:drawing>
      </w:r>
    </w:p>
    <w:p w14:paraId="02F1362D" w14:textId="548DC630" w:rsidR="00580079" w:rsidRDefault="001B09D2" w:rsidP="001B09D2">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   </w:t>
      </w:r>
      <w:r w:rsidR="00580079" w:rsidRPr="00580079">
        <w:rPr>
          <w:rFonts w:ascii="Times New Roman" w:hAnsi="Times New Roman" w:cs="Times New Roman"/>
          <w:i/>
          <w:iCs/>
          <w:sz w:val="20"/>
          <w:szCs w:val="20"/>
        </w:rPr>
        <w:t>Source: Bloomberg</w:t>
      </w:r>
    </w:p>
    <w:p w14:paraId="5B02726E" w14:textId="77777777" w:rsidR="00086C5E" w:rsidRDefault="00086C5E" w:rsidP="001B09D2">
      <w:pPr>
        <w:spacing w:after="0" w:line="240" w:lineRule="auto"/>
        <w:rPr>
          <w:rFonts w:ascii="Times New Roman" w:hAnsi="Times New Roman" w:cs="Times New Roman"/>
          <w:b/>
          <w:bCs/>
          <w:sz w:val="20"/>
          <w:szCs w:val="20"/>
          <w:u w:val="single"/>
        </w:rPr>
      </w:pPr>
    </w:p>
    <w:p w14:paraId="49DC74A7" w14:textId="7834996E" w:rsidR="000419B6" w:rsidRPr="00F17678" w:rsidRDefault="000419B6" w:rsidP="001B09D2">
      <w:pPr>
        <w:spacing w:after="0" w:line="240" w:lineRule="auto"/>
        <w:rPr>
          <w:rFonts w:ascii="Times New Roman" w:hAnsi="Times New Roman" w:cs="Times New Roman"/>
        </w:rPr>
      </w:pPr>
      <w:r w:rsidRPr="00F17678">
        <w:rPr>
          <w:rFonts w:ascii="Times New Roman" w:hAnsi="Times New Roman" w:cs="Times New Roman"/>
        </w:rPr>
        <w:t xml:space="preserve">One noticeable trend in the quarter was the </w:t>
      </w:r>
      <w:r w:rsidR="005F3684" w:rsidRPr="00F17678">
        <w:rPr>
          <w:rFonts w:ascii="Times New Roman" w:hAnsi="Times New Roman" w:cs="Times New Roman"/>
        </w:rPr>
        <w:t>increasing</w:t>
      </w:r>
      <w:r w:rsidRPr="00F17678">
        <w:rPr>
          <w:rFonts w:ascii="Times New Roman" w:hAnsi="Times New Roman" w:cs="Times New Roman"/>
        </w:rPr>
        <w:t xml:space="preserve"> divergence between the “Magnificent 7” stocks</w:t>
      </w:r>
      <w:r w:rsidR="0080478D" w:rsidRPr="00F17678">
        <w:rPr>
          <w:rFonts w:ascii="Times New Roman" w:hAnsi="Times New Roman" w:cs="Times New Roman"/>
        </w:rPr>
        <w:t xml:space="preserve"> </w:t>
      </w:r>
      <w:r w:rsidRPr="00F17678">
        <w:rPr>
          <w:rFonts w:ascii="Times New Roman" w:hAnsi="Times New Roman" w:cs="Times New Roman"/>
        </w:rPr>
        <w:t xml:space="preserve">that </w:t>
      </w:r>
      <w:r w:rsidR="0080478D" w:rsidRPr="00F17678">
        <w:rPr>
          <w:rFonts w:ascii="Times New Roman" w:hAnsi="Times New Roman" w:cs="Times New Roman"/>
        </w:rPr>
        <w:t xml:space="preserve">for many years </w:t>
      </w:r>
      <w:r w:rsidRPr="00F17678">
        <w:rPr>
          <w:rFonts w:ascii="Times New Roman" w:hAnsi="Times New Roman" w:cs="Times New Roman"/>
        </w:rPr>
        <w:t xml:space="preserve">carried the market higher </w:t>
      </w:r>
      <w:r w:rsidR="0080478D" w:rsidRPr="00F17678">
        <w:rPr>
          <w:rFonts w:ascii="Times New Roman" w:hAnsi="Times New Roman" w:cs="Times New Roman"/>
        </w:rPr>
        <w:t xml:space="preserve">in lockstep </w:t>
      </w:r>
      <w:r w:rsidRPr="00F17678">
        <w:rPr>
          <w:rFonts w:ascii="Times New Roman" w:hAnsi="Times New Roman" w:cs="Times New Roman"/>
        </w:rPr>
        <w:t>and the general Information Technology and Communications sectors</w:t>
      </w:r>
      <w:r w:rsidR="005F3684" w:rsidRPr="00F17678">
        <w:rPr>
          <w:rFonts w:ascii="Times New Roman" w:hAnsi="Times New Roman" w:cs="Times New Roman"/>
        </w:rPr>
        <w:t xml:space="preserve">, where leadership has gravitated to new firms benefiting from the ongoing buildout of Artificial Intelligence Infrastructure. </w:t>
      </w:r>
    </w:p>
    <w:p w14:paraId="051FE1C0" w14:textId="77777777" w:rsidR="005F3684" w:rsidRPr="00F17678" w:rsidRDefault="005F3684" w:rsidP="001B09D2">
      <w:pPr>
        <w:spacing w:after="0" w:line="240" w:lineRule="auto"/>
        <w:rPr>
          <w:rFonts w:ascii="Times New Roman" w:hAnsi="Times New Roman" w:cs="Times New Roman"/>
        </w:rPr>
      </w:pPr>
    </w:p>
    <w:p w14:paraId="12D32718" w14:textId="5D2549B1" w:rsidR="005F3684" w:rsidRPr="00F17678" w:rsidRDefault="00FE320B" w:rsidP="001B09D2">
      <w:pPr>
        <w:spacing w:after="0" w:line="240" w:lineRule="auto"/>
        <w:rPr>
          <w:rFonts w:ascii="Times New Roman" w:hAnsi="Times New Roman" w:cs="Times New Roman"/>
        </w:rPr>
      </w:pPr>
      <w:r w:rsidRPr="00F17678">
        <w:rPr>
          <w:rFonts w:ascii="Times New Roman" w:hAnsi="Times New Roman" w:cs="Times New Roman"/>
        </w:rPr>
        <w:t xml:space="preserve">While </w:t>
      </w:r>
      <w:r w:rsidR="005F3684" w:rsidRPr="00F17678">
        <w:rPr>
          <w:rFonts w:ascii="Times New Roman" w:hAnsi="Times New Roman" w:cs="Times New Roman"/>
        </w:rPr>
        <w:t>Nvidia</w:t>
      </w:r>
      <w:r w:rsidR="002C0C0E" w:rsidRPr="00F17678">
        <w:rPr>
          <w:rFonts w:ascii="Times New Roman" w:hAnsi="Times New Roman" w:cs="Times New Roman"/>
        </w:rPr>
        <w:t>,</w:t>
      </w:r>
      <w:r w:rsidR="005F3684" w:rsidRPr="00F17678">
        <w:rPr>
          <w:rFonts w:ascii="Times New Roman" w:hAnsi="Times New Roman" w:cs="Times New Roman"/>
        </w:rPr>
        <w:t xml:space="preserve"> Microsoft</w:t>
      </w:r>
      <w:r w:rsidR="002C0C0E" w:rsidRPr="00F17678">
        <w:rPr>
          <w:rFonts w:ascii="Times New Roman" w:hAnsi="Times New Roman" w:cs="Times New Roman"/>
        </w:rPr>
        <w:t xml:space="preserve">, and Meta Platforms (Facebook) </w:t>
      </w:r>
      <w:r w:rsidR="005F3684" w:rsidRPr="00F17678">
        <w:rPr>
          <w:rFonts w:ascii="Times New Roman" w:hAnsi="Times New Roman" w:cs="Times New Roman"/>
        </w:rPr>
        <w:t>have all posted mar</w:t>
      </w:r>
      <w:r w:rsidR="002C0C0E" w:rsidRPr="00F17678">
        <w:rPr>
          <w:rFonts w:ascii="Times New Roman" w:hAnsi="Times New Roman" w:cs="Times New Roman"/>
        </w:rPr>
        <w:t>ket leading returns and retain critical positions in the emerging artificial intelligence landscape</w:t>
      </w:r>
      <w:r w:rsidRPr="00F17678">
        <w:rPr>
          <w:rFonts w:ascii="Times New Roman" w:hAnsi="Times New Roman" w:cs="Times New Roman"/>
        </w:rPr>
        <w:t xml:space="preserve">, the </w:t>
      </w:r>
      <w:r w:rsidR="0080478D" w:rsidRPr="00F17678">
        <w:rPr>
          <w:rFonts w:ascii="Times New Roman" w:hAnsi="Times New Roman" w:cs="Times New Roman"/>
        </w:rPr>
        <w:t xml:space="preserve">four other members of this group – Apple, Alphabet, (Google), Tesla, and </w:t>
      </w:r>
      <w:r w:rsidR="006A3BD7" w:rsidRPr="00F17678">
        <w:rPr>
          <w:rFonts w:ascii="Times New Roman" w:hAnsi="Times New Roman" w:cs="Times New Roman"/>
        </w:rPr>
        <w:t>Amazon, have lagged the broader technology index. Tesla shares</w:t>
      </w:r>
      <w:r w:rsidR="000D2314" w:rsidRPr="00F17678">
        <w:rPr>
          <w:rFonts w:ascii="Times New Roman" w:hAnsi="Times New Roman" w:cs="Times New Roman"/>
        </w:rPr>
        <w:t xml:space="preserve"> have declined more than 20% year to date due to plunging </w:t>
      </w:r>
      <w:r w:rsidRPr="00F17678">
        <w:rPr>
          <w:rFonts w:ascii="Times New Roman" w:hAnsi="Times New Roman" w:cs="Times New Roman"/>
        </w:rPr>
        <w:t xml:space="preserve">global </w:t>
      </w:r>
      <w:r w:rsidR="000D2314" w:rsidRPr="00F17678">
        <w:rPr>
          <w:rFonts w:ascii="Times New Roman" w:hAnsi="Times New Roman" w:cs="Times New Roman"/>
        </w:rPr>
        <w:t xml:space="preserve">auto sales and </w:t>
      </w:r>
      <w:r w:rsidRPr="00F17678">
        <w:rPr>
          <w:rFonts w:ascii="Times New Roman" w:hAnsi="Times New Roman" w:cs="Times New Roman"/>
        </w:rPr>
        <w:t xml:space="preserve">fallout from </w:t>
      </w:r>
      <w:r w:rsidR="000D2314" w:rsidRPr="00F17678">
        <w:rPr>
          <w:rFonts w:ascii="Times New Roman" w:hAnsi="Times New Roman" w:cs="Times New Roman"/>
        </w:rPr>
        <w:t xml:space="preserve">CEO Elon Musk’s </w:t>
      </w:r>
      <w:r w:rsidRPr="00F17678">
        <w:rPr>
          <w:rFonts w:ascii="Times New Roman" w:hAnsi="Times New Roman" w:cs="Times New Roman"/>
        </w:rPr>
        <w:t xml:space="preserve">contentious relationship with the Trump Administration. </w:t>
      </w:r>
      <w:r w:rsidR="00803828" w:rsidRPr="00F17678">
        <w:rPr>
          <w:rFonts w:ascii="Times New Roman" w:hAnsi="Times New Roman" w:cs="Times New Roman"/>
        </w:rPr>
        <w:t xml:space="preserve">Investors have fretted over </w:t>
      </w:r>
      <w:r w:rsidR="000D2314" w:rsidRPr="00F17678">
        <w:rPr>
          <w:rFonts w:ascii="Times New Roman" w:hAnsi="Times New Roman" w:cs="Times New Roman"/>
        </w:rPr>
        <w:t>Apple</w:t>
      </w:r>
      <w:r w:rsidR="00803828" w:rsidRPr="00F17678">
        <w:rPr>
          <w:rFonts w:ascii="Times New Roman" w:hAnsi="Times New Roman" w:cs="Times New Roman"/>
        </w:rPr>
        <w:t xml:space="preserve">’s </w:t>
      </w:r>
      <w:r w:rsidR="000D2314" w:rsidRPr="00F17678">
        <w:rPr>
          <w:rFonts w:ascii="Times New Roman" w:hAnsi="Times New Roman" w:cs="Times New Roman"/>
        </w:rPr>
        <w:t>lagg</w:t>
      </w:r>
      <w:r w:rsidRPr="00F17678">
        <w:rPr>
          <w:rFonts w:ascii="Times New Roman" w:hAnsi="Times New Roman" w:cs="Times New Roman"/>
        </w:rPr>
        <w:t xml:space="preserve">ing position </w:t>
      </w:r>
      <w:r w:rsidR="000D2314" w:rsidRPr="00F17678">
        <w:rPr>
          <w:rFonts w:ascii="Times New Roman" w:hAnsi="Times New Roman" w:cs="Times New Roman"/>
        </w:rPr>
        <w:t>in artificial intelligence and potential financial stress due to the Trump tariff plan.</w:t>
      </w:r>
      <w:r w:rsidRPr="00F17678">
        <w:rPr>
          <w:rFonts w:ascii="Times New Roman" w:hAnsi="Times New Roman" w:cs="Times New Roman"/>
        </w:rPr>
        <w:t xml:space="preserve"> Alphabet is also fighting investor concern that AI might disrupt its core search business </w:t>
      </w:r>
      <w:r w:rsidR="00800A1D">
        <w:rPr>
          <w:rFonts w:ascii="Times New Roman" w:hAnsi="Times New Roman" w:cs="Times New Roman"/>
        </w:rPr>
        <w:t xml:space="preserve">, </w:t>
      </w:r>
      <w:r w:rsidRPr="00F17678">
        <w:rPr>
          <w:rFonts w:ascii="Times New Roman" w:hAnsi="Times New Roman" w:cs="Times New Roman"/>
        </w:rPr>
        <w:t>while Amazon face headwinds to it</w:t>
      </w:r>
      <w:r w:rsidR="00803828" w:rsidRPr="00F17678">
        <w:rPr>
          <w:rFonts w:ascii="Times New Roman" w:hAnsi="Times New Roman" w:cs="Times New Roman"/>
        </w:rPr>
        <w:t>s</w:t>
      </w:r>
      <w:r w:rsidRPr="00F17678">
        <w:rPr>
          <w:rFonts w:ascii="Times New Roman" w:hAnsi="Times New Roman" w:cs="Times New Roman"/>
        </w:rPr>
        <w:t xml:space="preserve"> core retail business under the new Trump tariff plan. </w:t>
      </w:r>
    </w:p>
    <w:p w14:paraId="0E528B7B" w14:textId="77777777" w:rsidR="005F3684" w:rsidRDefault="005F3684" w:rsidP="001B09D2">
      <w:pPr>
        <w:spacing w:after="0" w:line="240" w:lineRule="auto"/>
        <w:rPr>
          <w:rFonts w:ascii="Times New Roman" w:hAnsi="Times New Roman" w:cs="Times New Roman"/>
          <w:sz w:val="20"/>
          <w:szCs w:val="20"/>
        </w:rPr>
      </w:pPr>
    </w:p>
    <w:p w14:paraId="4B948646" w14:textId="3E8C6452" w:rsidR="000419B6" w:rsidRPr="000419B6" w:rsidRDefault="00FE320B" w:rsidP="00FE320B">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F3AB310" wp14:editId="507B83B9">
            <wp:extent cx="5481619" cy="3554862"/>
            <wp:effectExtent l="0" t="0" r="5080" b="7620"/>
            <wp:docPr id="807408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0610" cy="3580148"/>
                    </a:xfrm>
                    <a:prstGeom prst="rect">
                      <a:avLst/>
                    </a:prstGeom>
                    <a:noFill/>
                  </pic:spPr>
                </pic:pic>
              </a:graphicData>
            </a:graphic>
          </wp:inline>
        </w:drawing>
      </w:r>
    </w:p>
    <w:p w14:paraId="1E757861" w14:textId="77777777" w:rsidR="00FE320B" w:rsidRDefault="00FE320B" w:rsidP="00FE320B">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   </w:t>
      </w:r>
      <w:r w:rsidRPr="00580079">
        <w:rPr>
          <w:rFonts w:ascii="Times New Roman" w:hAnsi="Times New Roman" w:cs="Times New Roman"/>
          <w:i/>
          <w:iCs/>
          <w:sz w:val="20"/>
          <w:szCs w:val="20"/>
        </w:rPr>
        <w:t>Source: Bloomberg</w:t>
      </w:r>
    </w:p>
    <w:p w14:paraId="36A70ED5" w14:textId="41F0CDF5" w:rsidR="002D1210" w:rsidRDefault="002D1210" w:rsidP="000D5B73">
      <w:pPr>
        <w:pStyle w:val="Default"/>
        <w:rPr>
          <w:sz w:val="22"/>
          <w:szCs w:val="22"/>
        </w:rPr>
      </w:pPr>
    </w:p>
    <w:p w14:paraId="4D4D92E2" w14:textId="0DD127A6" w:rsidR="00284022" w:rsidRDefault="00973908" w:rsidP="00284022">
      <w:pPr>
        <w:pStyle w:val="Default"/>
        <w:rPr>
          <w:sz w:val="22"/>
          <w:szCs w:val="22"/>
        </w:rPr>
      </w:pPr>
      <w:r>
        <w:rPr>
          <w:sz w:val="22"/>
          <w:szCs w:val="22"/>
        </w:rPr>
        <w:t xml:space="preserve">International markets </w:t>
      </w:r>
      <w:r w:rsidR="00284022">
        <w:rPr>
          <w:sz w:val="22"/>
          <w:szCs w:val="22"/>
        </w:rPr>
        <w:t xml:space="preserve">built on first quarter gains, with almost every global market posting positive results and both emerging and developed markets indexes posting double digit gains. The declining US Dollar helped emerging market returns, while Central Bank rate cuts and a less dour outlook for global trade talks helped EU companies. </w:t>
      </w:r>
    </w:p>
    <w:p w14:paraId="2E50C49A" w14:textId="77777777" w:rsidR="007D3A30" w:rsidRDefault="007D3A30" w:rsidP="000D5B73">
      <w:pPr>
        <w:pStyle w:val="Default"/>
        <w:rPr>
          <w:sz w:val="22"/>
          <w:szCs w:val="22"/>
        </w:rPr>
      </w:pPr>
    </w:p>
    <w:p w14:paraId="248EB3B3" w14:textId="336C1C12" w:rsidR="009D5135" w:rsidRDefault="00284022" w:rsidP="008103E8">
      <w:pPr>
        <w:pStyle w:val="Default"/>
        <w:jc w:val="center"/>
        <w:rPr>
          <w:noProof/>
          <w:sz w:val="22"/>
          <w:szCs w:val="22"/>
        </w:rPr>
      </w:pPr>
      <w:r>
        <w:rPr>
          <w:noProof/>
          <w:sz w:val="22"/>
          <w:szCs w:val="22"/>
        </w:rPr>
        <w:drawing>
          <wp:inline distT="0" distB="0" distL="0" distR="0" wp14:anchorId="750BA1DF" wp14:editId="60D66E5D">
            <wp:extent cx="5689473" cy="3209574"/>
            <wp:effectExtent l="0" t="0" r="6985" b="0"/>
            <wp:docPr id="458214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126" cy="3224046"/>
                    </a:xfrm>
                    <a:prstGeom prst="rect">
                      <a:avLst/>
                    </a:prstGeom>
                    <a:noFill/>
                  </pic:spPr>
                </pic:pic>
              </a:graphicData>
            </a:graphic>
          </wp:inline>
        </w:drawing>
      </w:r>
    </w:p>
    <w:p w14:paraId="410EE9B7" w14:textId="376408CF" w:rsidR="00A5776F" w:rsidRDefault="00D61F46" w:rsidP="00D61F46">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    </w:t>
      </w:r>
      <w:r w:rsidR="00A5776F" w:rsidRPr="00580079">
        <w:rPr>
          <w:rFonts w:ascii="Times New Roman" w:hAnsi="Times New Roman" w:cs="Times New Roman"/>
          <w:i/>
          <w:iCs/>
          <w:sz w:val="20"/>
          <w:szCs w:val="20"/>
        </w:rPr>
        <w:t>Source: Bloomberg</w:t>
      </w:r>
    </w:p>
    <w:p w14:paraId="6D93861A" w14:textId="4F8C7DEB" w:rsidR="005F2C26" w:rsidRDefault="005F2C26" w:rsidP="009D5135">
      <w:pPr>
        <w:spacing w:after="0" w:line="240" w:lineRule="auto"/>
        <w:rPr>
          <w:rFonts w:ascii="Times New Roman" w:hAnsi="Times New Roman" w:cs="Times New Roman"/>
          <w:i/>
          <w:iCs/>
          <w:sz w:val="20"/>
          <w:szCs w:val="20"/>
        </w:rPr>
      </w:pPr>
    </w:p>
    <w:p w14:paraId="7A58FA69" w14:textId="712DA040" w:rsidR="005F2C26" w:rsidRDefault="005E20D7" w:rsidP="005F2C26">
      <w:pPr>
        <w:pStyle w:val="Default"/>
        <w:jc w:val="center"/>
        <w:rPr>
          <w:b/>
          <w:bCs/>
          <w:sz w:val="22"/>
          <w:szCs w:val="22"/>
          <w:u w:val="single"/>
        </w:rPr>
      </w:pPr>
      <w:r>
        <w:rPr>
          <w:b/>
          <w:bCs/>
          <w:sz w:val="22"/>
          <w:szCs w:val="22"/>
          <w:u w:val="single"/>
        </w:rPr>
        <w:t>Fixed Income Markets</w:t>
      </w:r>
    </w:p>
    <w:p w14:paraId="1146D2CC" w14:textId="77777777" w:rsidR="00192DB2" w:rsidRDefault="00192DB2" w:rsidP="005F2C26">
      <w:pPr>
        <w:pStyle w:val="Default"/>
        <w:jc w:val="center"/>
        <w:rPr>
          <w:b/>
          <w:bCs/>
          <w:sz w:val="22"/>
          <w:szCs w:val="22"/>
          <w:u w:val="single"/>
        </w:rPr>
      </w:pPr>
    </w:p>
    <w:p w14:paraId="2365DB01" w14:textId="243C5126" w:rsidR="00192DB2" w:rsidRDefault="00770C04" w:rsidP="00192DB2">
      <w:pPr>
        <w:pStyle w:val="Default"/>
        <w:rPr>
          <w:sz w:val="22"/>
          <w:szCs w:val="22"/>
        </w:rPr>
      </w:pPr>
      <w:r>
        <w:rPr>
          <w:sz w:val="22"/>
          <w:szCs w:val="22"/>
        </w:rPr>
        <w:t xml:space="preserve">Fixed Income markets </w:t>
      </w:r>
      <w:r w:rsidR="00DA200B">
        <w:rPr>
          <w:sz w:val="22"/>
          <w:szCs w:val="22"/>
        </w:rPr>
        <w:t>largely marked time in the quarter</w:t>
      </w:r>
      <w:r w:rsidR="00494BE8">
        <w:rPr>
          <w:sz w:val="22"/>
          <w:szCs w:val="22"/>
        </w:rPr>
        <w:t>. T</w:t>
      </w:r>
      <w:r w:rsidR="00DA200B">
        <w:rPr>
          <w:sz w:val="22"/>
          <w:szCs w:val="22"/>
        </w:rPr>
        <w:t xml:space="preserve">he benchmark 10 Year Treasury </w:t>
      </w:r>
      <w:r w:rsidR="009254F4">
        <w:rPr>
          <w:sz w:val="22"/>
          <w:szCs w:val="22"/>
        </w:rPr>
        <w:t xml:space="preserve">yield </w:t>
      </w:r>
      <w:r w:rsidR="00DA200B">
        <w:rPr>
          <w:sz w:val="22"/>
          <w:szCs w:val="22"/>
        </w:rPr>
        <w:t>initially spik</w:t>
      </w:r>
      <w:r w:rsidR="00494BE8">
        <w:rPr>
          <w:sz w:val="22"/>
          <w:szCs w:val="22"/>
        </w:rPr>
        <w:t>ed</w:t>
      </w:r>
      <w:r w:rsidR="00DA200B">
        <w:rPr>
          <w:sz w:val="22"/>
          <w:szCs w:val="22"/>
        </w:rPr>
        <w:t xml:space="preserve"> in the wake of the Liberation Day tariff announcement but then declin</w:t>
      </w:r>
      <w:r w:rsidR="00494BE8">
        <w:rPr>
          <w:sz w:val="22"/>
          <w:szCs w:val="22"/>
        </w:rPr>
        <w:t>ed</w:t>
      </w:r>
      <w:r w:rsidR="00DA200B">
        <w:rPr>
          <w:sz w:val="22"/>
          <w:szCs w:val="22"/>
        </w:rPr>
        <w:t xml:space="preserve"> </w:t>
      </w:r>
      <w:r w:rsidR="00803828">
        <w:rPr>
          <w:sz w:val="22"/>
          <w:szCs w:val="22"/>
        </w:rPr>
        <w:t>due to a</w:t>
      </w:r>
      <w:r w:rsidR="00DA200B">
        <w:rPr>
          <w:sz w:val="22"/>
          <w:szCs w:val="22"/>
        </w:rPr>
        <w:t xml:space="preserve"> series of benign inflation reports and a de-escalation in trade rhetoric out of Washington.  </w:t>
      </w:r>
      <w:r w:rsidR="00682EB8">
        <w:rPr>
          <w:sz w:val="22"/>
          <w:szCs w:val="22"/>
        </w:rPr>
        <w:t>The 10 Year yield finished the quarter where it started at 4.2%</w:t>
      </w:r>
      <w:r w:rsidR="00606031">
        <w:rPr>
          <w:sz w:val="22"/>
          <w:szCs w:val="22"/>
        </w:rPr>
        <w:t xml:space="preserve">. </w:t>
      </w:r>
    </w:p>
    <w:p w14:paraId="7680F66C" w14:textId="77777777" w:rsidR="009410BD" w:rsidRDefault="009410BD" w:rsidP="00192DB2">
      <w:pPr>
        <w:pStyle w:val="Default"/>
        <w:rPr>
          <w:sz w:val="22"/>
          <w:szCs w:val="22"/>
        </w:rPr>
      </w:pPr>
    </w:p>
    <w:p w14:paraId="57706AE5" w14:textId="5AB68F7E" w:rsidR="009410BD" w:rsidRPr="00770C04" w:rsidRDefault="009410BD" w:rsidP="00192DB2">
      <w:pPr>
        <w:pStyle w:val="Default"/>
        <w:rPr>
          <w:sz w:val="22"/>
          <w:szCs w:val="22"/>
        </w:rPr>
      </w:pPr>
      <w:r>
        <w:rPr>
          <w:sz w:val="22"/>
          <w:szCs w:val="22"/>
        </w:rPr>
        <w:t xml:space="preserve">The Treasury </w:t>
      </w:r>
      <w:r w:rsidR="009254F4">
        <w:rPr>
          <w:sz w:val="22"/>
          <w:szCs w:val="22"/>
        </w:rPr>
        <w:t>y</w:t>
      </w:r>
      <w:r>
        <w:rPr>
          <w:sz w:val="22"/>
          <w:szCs w:val="22"/>
        </w:rPr>
        <w:t xml:space="preserve">ield </w:t>
      </w:r>
      <w:r w:rsidR="009254F4">
        <w:rPr>
          <w:sz w:val="22"/>
          <w:szCs w:val="22"/>
        </w:rPr>
        <w:t>c</w:t>
      </w:r>
      <w:r>
        <w:rPr>
          <w:sz w:val="22"/>
          <w:szCs w:val="22"/>
        </w:rPr>
        <w:t xml:space="preserve">urve did shift during the </w:t>
      </w:r>
      <w:r w:rsidR="00606031">
        <w:rPr>
          <w:sz w:val="22"/>
          <w:szCs w:val="22"/>
        </w:rPr>
        <w:t xml:space="preserve">period, </w:t>
      </w:r>
      <w:r w:rsidR="00803828">
        <w:rPr>
          <w:sz w:val="22"/>
          <w:szCs w:val="22"/>
        </w:rPr>
        <w:t xml:space="preserve">sending mixed messages to bond investors. </w:t>
      </w:r>
      <w:r w:rsidR="009254F4">
        <w:rPr>
          <w:sz w:val="22"/>
          <w:szCs w:val="22"/>
        </w:rPr>
        <w:t>I</w:t>
      </w:r>
      <w:r>
        <w:rPr>
          <w:sz w:val="22"/>
          <w:szCs w:val="22"/>
        </w:rPr>
        <w:t>ntermediate yields decli</w:t>
      </w:r>
      <w:r w:rsidR="00606031">
        <w:rPr>
          <w:sz w:val="22"/>
          <w:szCs w:val="22"/>
        </w:rPr>
        <w:t>n</w:t>
      </w:r>
      <w:r w:rsidR="009254F4">
        <w:rPr>
          <w:sz w:val="22"/>
          <w:szCs w:val="22"/>
        </w:rPr>
        <w:t xml:space="preserve">ed approximately 20 basis points during the quarter, </w:t>
      </w:r>
      <w:r>
        <w:rPr>
          <w:sz w:val="22"/>
          <w:szCs w:val="22"/>
        </w:rPr>
        <w:t>reflecting increas</w:t>
      </w:r>
      <w:r w:rsidR="00494BE8">
        <w:rPr>
          <w:sz w:val="22"/>
          <w:szCs w:val="22"/>
        </w:rPr>
        <w:t>ed</w:t>
      </w:r>
      <w:r>
        <w:rPr>
          <w:sz w:val="22"/>
          <w:szCs w:val="22"/>
        </w:rPr>
        <w:t xml:space="preserve"> recessionary fears and a higher probability of Central Bank rate cuts</w:t>
      </w:r>
      <w:r w:rsidR="009254F4">
        <w:rPr>
          <w:sz w:val="22"/>
          <w:szCs w:val="22"/>
        </w:rPr>
        <w:t xml:space="preserve"> over the next several years</w:t>
      </w:r>
      <w:r w:rsidR="00606031">
        <w:rPr>
          <w:sz w:val="22"/>
          <w:szCs w:val="22"/>
        </w:rPr>
        <w:t>. At the same time, longer-</w:t>
      </w:r>
      <w:r w:rsidR="00800A1D">
        <w:rPr>
          <w:sz w:val="22"/>
          <w:szCs w:val="22"/>
        </w:rPr>
        <w:t>dated</w:t>
      </w:r>
      <w:r w:rsidR="00606031">
        <w:rPr>
          <w:sz w:val="22"/>
          <w:szCs w:val="22"/>
        </w:rPr>
        <w:t xml:space="preserve"> </w:t>
      </w:r>
      <w:r w:rsidR="009254F4">
        <w:rPr>
          <w:sz w:val="22"/>
          <w:szCs w:val="22"/>
        </w:rPr>
        <w:t xml:space="preserve">Treasury </w:t>
      </w:r>
      <w:r w:rsidR="00606031">
        <w:rPr>
          <w:sz w:val="22"/>
          <w:szCs w:val="22"/>
        </w:rPr>
        <w:t>yields increased 30 basis points</w:t>
      </w:r>
      <w:r w:rsidR="00E26AAD">
        <w:rPr>
          <w:sz w:val="22"/>
          <w:szCs w:val="22"/>
        </w:rPr>
        <w:t xml:space="preserve">, reflecting elevated concern over the </w:t>
      </w:r>
      <w:r w:rsidR="009254F4">
        <w:rPr>
          <w:sz w:val="22"/>
          <w:szCs w:val="22"/>
        </w:rPr>
        <w:t xml:space="preserve">long-term </w:t>
      </w:r>
      <w:r w:rsidR="00E26AAD">
        <w:rPr>
          <w:sz w:val="22"/>
          <w:szCs w:val="22"/>
        </w:rPr>
        <w:t>inflationary implications of U.S. Trade policy and also general concern over spiraling U.S. budget deficits</w:t>
      </w:r>
      <w:r w:rsidR="00606031">
        <w:rPr>
          <w:sz w:val="22"/>
          <w:szCs w:val="22"/>
        </w:rPr>
        <w:t>.</w:t>
      </w:r>
      <w:r w:rsidR="009254F4">
        <w:rPr>
          <w:sz w:val="22"/>
          <w:szCs w:val="22"/>
        </w:rPr>
        <w:t xml:space="preserve"> </w:t>
      </w:r>
    </w:p>
    <w:p w14:paraId="2CCF84C6" w14:textId="77777777" w:rsidR="00AC2C97" w:rsidRDefault="00AC2C97" w:rsidP="00AF3310">
      <w:pPr>
        <w:spacing w:after="0" w:line="240" w:lineRule="auto"/>
        <w:rPr>
          <w:rFonts w:ascii="Times New Roman" w:hAnsi="Times New Roman" w:cs="Times New Roman"/>
          <w:noProof/>
        </w:rPr>
      </w:pPr>
    </w:p>
    <w:p w14:paraId="52C42016" w14:textId="7B1FB1DA" w:rsidR="003F70D1" w:rsidRDefault="003F70D1" w:rsidP="00AF3310">
      <w:pPr>
        <w:spacing w:after="0" w:line="240" w:lineRule="auto"/>
        <w:rPr>
          <w:rFonts w:ascii="Times New Roman" w:hAnsi="Times New Roman" w:cs="Times New Roman"/>
          <w:noProof/>
        </w:rPr>
      </w:pPr>
    </w:p>
    <w:p w14:paraId="7C423844" w14:textId="771BC8F4" w:rsidR="003F70D1" w:rsidRDefault="00682EB8" w:rsidP="00D11AE5">
      <w:pPr>
        <w:spacing w:after="0" w:line="240" w:lineRule="auto"/>
        <w:jc w:val="center"/>
        <w:rPr>
          <w:rFonts w:ascii="Times New Roman" w:hAnsi="Times New Roman" w:cs="Times New Roman"/>
          <w:noProof/>
        </w:rPr>
      </w:pPr>
      <w:r>
        <w:rPr>
          <w:rFonts w:ascii="Times New Roman" w:hAnsi="Times New Roman" w:cs="Times New Roman"/>
          <w:noProof/>
        </w:rPr>
        <w:drawing>
          <wp:inline distT="0" distB="0" distL="0" distR="0" wp14:anchorId="5EEFB468" wp14:editId="22806536">
            <wp:extent cx="5999061" cy="4025900"/>
            <wp:effectExtent l="0" t="0" r="1905" b="0"/>
            <wp:docPr id="3376540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24810" cy="4043180"/>
                    </a:xfrm>
                    <a:prstGeom prst="rect">
                      <a:avLst/>
                    </a:prstGeom>
                    <a:noFill/>
                  </pic:spPr>
                </pic:pic>
              </a:graphicData>
            </a:graphic>
          </wp:inline>
        </w:drawing>
      </w:r>
    </w:p>
    <w:p w14:paraId="65E2F2C8" w14:textId="6125DB19" w:rsidR="00F0611E" w:rsidRPr="00580079" w:rsidRDefault="00F0611E" w:rsidP="003F70D1">
      <w:pPr>
        <w:spacing w:after="0" w:line="240" w:lineRule="auto"/>
        <w:rPr>
          <w:rFonts w:ascii="Times New Roman" w:hAnsi="Times New Roman" w:cs="Times New Roman"/>
          <w:b/>
          <w:bCs/>
          <w:sz w:val="20"/>
          <w:szCs w:val="20"/>
          <w:u w:val="single"/>
        </w:rPr>
      </w:pPr>
      <w:r w:rsidRPr="00580079">
        <w:rPr>
          <w:rFonts w:ascii="Times New Roman" w:hAnsi="Times New Roman" w:cs="Times New Roman"/>
          <w:i/>
          <w:iCs/>
          <w:sz w:val="20"/>
          <w:szCs w:val="20"/>
        </w:rPr>
        <w:t>Source: Bloomberg</w:t>
      </w:r>
    </w:p>
    <w:p w14:paraId="4F5E2C77" w14:textId="77777777" w:rsidR="00F30FD4" w:rsidRDefault="00F30FD4" w:rsidP="00A33302">
      <w:pPr>
        <w:pStyle w:val="Default"/>
        <w:rPr>
          <w:sz w:val="22"/>
          <w:szCs w:val="22"/>
        </w:rPr>
      </w:pPr>
    </w:p>
    <w:p w14:paraId="1F051644" w14:textId="77777777" w:rsidR="00F17678" w:rsidRDefault="00F17678" w:rsidP="00A33302">
      <w:pPr>
        <w:pStyle w:val="Default"/>
        <w:rPr>
          <w:sz w:val="22"/>
          <w:szCs w:val="22"/>
        </w:rPr>
      </w:pPr>
    </w:p>
    <w:p w14:paraId="7109EF28" w14:textId="340F7D6B" w:rsidR="00ED34F9" w:rsidRDefault="00770C04" w:rsidP="00ED34F9">
      <w:pPr>
        <w:pStyle w:val="Default"/>
        <w:jc w:val="center"/>
        <w:rPr>
          <w:b/>
          <w:bCs/>
          <w:sz w:val="22"/>
          <w:szCs w:val="22"/>
          <w:u w:val="single"/>
        </w:rPr>
      </w:pPr>
      <w:r>
        <w:rPr>
          <w:b/>
          <w:bCs/>
          <w:sz w:val="22"/>
          <w:szCs w:val="22"/>
          <w:u w:val="single"/>
        </w:rPr>
        <w:t>Liberation Day Tariffs – Results After the Three Months</w:t>
      </w:r>
    </w:p>
    <w:p w14:paraId="572BE7DE" w14:textId="77777777" w:rsidR="009254F4" w:rsidRDefault="009254F4" w:rsidP="00ED34F9">
      <w:pPr>
        <w:pStyle w:val="Default"/>
        <w:jc w:val="center"/>
        <w:rPr>
          <w:b/>
          <w:bCs/>
          <w:sz w:val="22"/>
          <w:szCs w:val="22"/>
          <w:u w:val="single"/>
        </w:rPr>
      </w:pPr>
    </w:p>
    <w:p w14:paraId="0951BB53" w14:textId="2667E696" w:rsidR="009254F4" w:rsidRDefault="00371C56" w:rsidP="009254F4">
      <w:pPr>
        <w:pStyle w:val="Default"/>
        <w:rPr>
          <w:sz w:val="22"/>
          <w:szCs w:val="22"/>
        </w:rPr>
      </w:pPr>
      <w:r>
        <w:rPr>
          <w:sz w:val="22"/>
          <w:szCs w:val="22"/>
        </w:rPr>
        <w:t xml:space="preserve">Investor reaction </w:t>
      </w:r>
      <w:r w:rsidR="009254F4">
        <w:rPr>
          <w:sz w:val="22"/>
          <w:szCs w:val="22"/>
        </w:rPr>
        <w:t xml:space="preserve">to the Trump Liberation Day tariff plan morphed through the quarter, </w:t>
      </w:r>
      <w:r>
        <w:rPr>
          <w:sz w:val="22"/>
          <w:szCs w:val="22"/>
        </w:rPr>
        <w:t xml:space="preserve">beginning as explosively negative, transitioning to apprehensive, and finishing as nearly dismissive. </w:t>
      </w:r>
      <w:r w:rsidR="005600F9">
        <w:rPr>
          <w:sz w:val="22"/>
          <w:szCs w:val="22"/>
        </w:rPr>
        <w:t xml:space="preserve">Markets delivered a </w:t>
      </w:r>
      <w:r w:rsidR="007E406B">
        <w:rPr>
          <w:sz w:val="22"/>
          <w:szCs w:val="22"/>
        </w:rPr>
        <w:t xml:space="preserve">sharp response </w:t>
      </w:r>
      <w:r w:rsidR="005600F9">
        <w:rPr>
          <w:sz w:val="22"/>
          <w:szCs w:val="22"/>
        </w:rPr>
        <w:t xml:space="preserve">to the initial tariff announcement, as stock markets dropped more than 12% in a matter of days, interest rates spiked, </w:t>
      </w:r>
      <w:r w:rsidR="00800A1D">
        <w:rPr>
          <w:sz w:val="22"/>
          <w:szCs w:val="22"/>
        </w:rPr>
        <w:t xml:space="preserve">and </w:t>
      </w:r>
      <w:r w:rsidR="005600F9">
        <w:rPr>
          <w:sz w:val="22"/>
          <w:szCs w:val="22"/>
        </w:rPr>
        <w:t>the U.S. dollar plunged. The White House announced a 90 Day pause in response</w:t>
      </w:r>
      <w:r w:rsidR="00240706">
        <w:rPr>
          <w:sz w:val="22"/>
          <w:szCs w:val="22"/>
        </w:rPr>
        <w:t xml:space="preserve"> </w:t>
      </w:r>
      <w:r w:rsidR="00F17678">
        <w:rPr>
          <w:sz w:val="22"/>
          <w:szCs w:val="22"/>
        </w:rPr>
        <w:t xml:space="preserve">to market upheaval </w:t>
      </w:r>
      <w:r w:rsidR="005600F9">
        <w:rPr>
          <w:sz w:val="22"/>
          <w:szCs w:val="22"/>
        </w:rPr>
        <w:t xml:space="preserve">with a pledge to reach deals </w:t>
      </w:r>
      <w:r w:rsidR="00682E7E">
        <w:rPr>
          <w:sz w:val="22"/>
          <w:szCs w:val="22"/>
        </w:rPr>
        <w:t xml:space="preserve">with </w:t>
      </w:r>
      <w:r w:rsidR="00602B64">
        <w:rPr>
          <w:sz w:val="22"/>
          <w:szCs w:val="22"/>
        </w:rPr>
        <w:t xml:space="preserve">90 key </w:t>
      </w:r>
      <w:r w:rsidR="00682E7E">
        <w:rPr>
          <w:sz w:val="22"/>
          <w:szCs w:val="22"/>
        </w:rPr>
        <w:t xml:space="preserve">foreign trade </w:t>
      </w:r>
      <w:r w:rsidR="00BE03C4">
        <w:rPr>
          <w:sz w:val="22"/>
          <w:szCs w:val="22"/>
        </w:rPr>
        <w:t>during the delay</w:t>
      </w:r>
      <w:r w:rsidR="00240706">
        <w:rPr>
          <w:sz w:val="22"/>
          <w:szCs w:val="22"/>
        </w:rPr>
        <w:t>.</w:t>
      </w:r>
    </w:p>
    <w:p w14:paraId="7109AD9C" w14:textId="77777777" w:rsidR="00240706" w:rsidRDefault="00240706" w:rsidP="009254F4">
      <w:pPr>
        <w:pStyle w:val="Default"/>
        <w:rPr>
          <w:sz w:val="22"/>
          <w:szCs w:val="22"/>
        </w:rPr>
      </w:pPr>
    </w:p>
    <w:p w14:paraId="6594C20A" w14:textId="7B05CAF3" w:rsidR="007E406B" w:rsidRDefault="00240706" w:rsidP="009254F4">
      <w:pPr>
        <w:pStyle w:val="Default"/>
        <w:rPr>
          <w:sz w:val="22"/>
          <w:szCs w:val="22"/>
        </w:rPr>
      </w:pPr>
      <w:r>
        <w:rPr>
          <w:sz w:val="22"/>
          <w:szCs w:val="22"/>
        </w:rPr>
        <w:t xml:space="preserve">Subsequent events provided little clarity on the </w:t>
      </w:r>
      <w:r w:rsidR="00682E7E">
        <w:rPr>
          <w:sz w:val="22"/>
          <w:szCs w:val="22"/>
        </w:rPr>
        <w:t xml:space="preserve">potential </w:t>
      </w:r>
      <w:r>
        <w:rPr>
          <w:sz w:val="22"/>
          <w:szCs w:val="22"/>
        </w:rPr>
        <w:t>end game of the Trump</w:t>
      </w:r>
      <w:r w:rsidR="00F17678">
        <w:rPr>
          <w:sz w:val="22"/>
          <w:szCs w:val="22"/>
        </w:rPr>
        <w:t xml:space="preserve"> Administration </w:t>
      </w:r>
      <w:r>
        <w:rPr>
          <w:sz w:val="22"/>
          <w:szCs w:val="22"/>
        </w:rPr>
        <w:t>trade stance. The White House raised tariff rates to 125% on all Chinese goods in April, only to announce a few days later exemptions for a wide variety of critical Chinese imports such as smartphones and electronics</w:t>
      </w:r>
      <w:r w:rsidR="004216AC">
        <w:rPr>
          <w:sz w:val="22"/>
          <w:szCs w:val="22"/>
        </w:rPr>
        <w:t xml:space="preserve">. It </w:t>
      </w:r>
      <w:r>
        <w:rPr>
          <w:sz w:val="22"/>
          <w:szCs w:val="22"/>
        </w:rPr>
        <w:t>then</w:t>
      </w:r>
      <w:r w:rsidR="004216AC">
        <w:rPr>
          <w:sz w:val="22"/>
          <w:szCs w:val="22"/>
        </w:rPr>
        <w:t xml:space="preserve"> enacted a</w:t>
      </w:r>
      <w:r>
        <w:rPr>
          <w:sz w:val="22"/>
          <w:szCs w:val="22"/>
        </w:rPr>
        <w:t xml:space="preserve"> significant reduc</w:t>
      </w:r>
      <w:r w:rsidR="00682E7E">
        <w:rPr>
          <w:sz w:val="22"/>
          <w:szCs w:val="22"/>
        </w:rPr>
        <w:t>tion in</w:t>
      </w:r>
      <w:r>
        <w:rPr>
          <w:sz w:val="22"/>
          <w:szCs w:val="22"/>
        </w:rPr>
        <w:t xml:space="preserve"> Chinese tariffs in May</w:t>
      </w:r>
      <w:r w:rsidRPr="00494BE8">
        <w:rPr>
          <w:sz w:val="22"/>
          <w:szCs w:val="22"/>
        </w:rPr>
        <w:t xml:space="preserve">. Similar </w:t>
      </w:r>
      <w:r w:rsidR="00494BE8" w:rsidRPr="00494BE8">
        <w:rPr>
          <w:sz w:val="22"/>
          <w:szCs w:val="22"/>
        </w:rPr>
        <w:t xml:space="preserve">episodes occurred </w:t>
      </w:r>
      <w:r w:rsidR="00682E7E" w:rsidRPr="00494BE8">
        <w:rPr>
          <w:sz w:val="22"/>
          <w:szCs w:val="22"/>
        </w:rPr>
        <w:t>through the quarter</w:t>
      </w:r>
      <w:r w:rsidR="00682E7E">
        <w:rPr>
          <w:sz w:val="22"/>
          <w:szCs w:val="22"/>
        </w:rPr>
        <w:t xml:space="preserve"> with </w:t>
      </w:r>
      <w:r w:rsidR="00F17678">
        <w:rPr>
          <w:sz w:val="22"/>
          <w:szCs w:val="22"/>
        </w:rPr>
        <w:t xml:space="preserve">several of the </w:t>
      </w:r>
      <w:r w:rsidR="00682E7E">
        <w:rPr>
          <w:sz w:val="22"/>
          <w:szCs w:val="22"/>
        </w:rPr>
        <w:t>U.S.</w:t>
      </w:r>
      <w:r w:rsidR="00F17678">
        <w:rPr>
          <w:sz w:val="22"/>
          <w:szCs w:val="22"/>
        </w:rPr>
        <w:t>’s largest</w:t>
      </w:r>
      <w:r w:rsidR="00682E7E">
        <w:rPr>
          <w:sz w:val="22"/>
          <w:szCs w:val="22"/>
        </w:rPr>
        <w:t xml:space="preserve"> trade partners. The White House announced 50% tariffs on Euro</w:t>
      </w:r>
      <w:r w:rsidR="00494BE8">
        <w:rPr>
          <w:sz w:val="22"/>
          <w:szCs w:val="22"/>
        </w:rPr>
        <w:t>zone</w:t>
      </w:r>
      <w:r w:rsidR="00682E7E">
        <w:rPr>
          <w:sz w:val="22"/>
          <w:szCs w:val="22"/>
        </w:rPr>
        <w:t xml:space="preserve"> </w:t>
      </w:r>
      <w:r w:rsidR="00494BE8">
        <w:rPr>
          <w:sz w:val="22"/>
          <w:szCs w:val="22"/>
        </w:rPr>
        <w:t>i</w:t>
      </w:r>
      <w:r w:rsidR="00682E7E">
        <w:rPr>
          <w:sz w:val="22"/>
          <w:szCs w:val="22"/>
        </w:rPr>
        <w:t>mports starting in June only to delay implementation until July</w:t>
      </w:r>
      <w:r w:rsidR="00800A1D">
        <w:rPr>
          <w:sz w:val="22"/>
          <w:szCs w:val="22"/>
        </w:rPr>
        <w:t>,</w:t>
      </w:r>
      <w:r w:rsidR="00682E7E">
        <w:rPr>
          <w:sz w:val="22"/>
          <w:szCs w:val="22"/>
        </w:rPr>
        <w:t xml:space="preserve"> and then have those tariffs blocked by the U.S. Trade Court. It also announced a significant reduction in tariffs on British goods in May.</w:t>
      </w:r>
      <w:r w:rsidR="007E406B">
        <w:rPr>
          <w:sz w:val="22"/>
          <w:szCs w:val="22"/>
        </w:rPr>
        <w:t xml:space="preserve"> </w:t>
      </w:r>
    </w:p>
    <w:p w14:paraId="63E21702" w14:textId="77777777" w:rsidR="007E406B" w:rsidRDefault="007E406B" w:rsidP="009254F4">
      <w:pPr>
        <w:pStyle w:val="Default"/>
        <w:rPr>
          <w:sz w:val="22"/>
          <w:szCs w:val="22"/>
        </w:rPr>
      </w:pPr>
    </w:p>
    <w:p w14:paraId="13F4E2E7" w14:textId="541A59D1" w:rsidR="00602B64" w:rsidRDefault="00682E7E" w:rsidP="009254F4">
      <w:pPr>
        <w:pStyle w:val="Default"/>
        <w:rPr>
          <w:sz w:val="22"/>
          <w:szCs w:val="22"/>
        </w:rPr>
      </w:pPr>
      <w:r>
        <w:rPr>
          <w:sz w:val="22"/>
          <w:szCs w:val="22"/>
        </w:rPr>
        <w:t xml:space="preserve">This </w:t>
      </w:r>
      <w:r w:rsidR="008C4E4E">
        <w:rPr>
          <w:sz w:val="22"/>
          <w:szCs w:val="22"/>
        </w:rPr>
        <w:t xml:space="preserve">ongoing </w:t>
      </w:r>
      <w:r>
        <w:rPr>
          <w:sz w:val="22"/>
          <w:szCs w:val="22"/>
        </w:rPr>
        <w:t>pattern of large-scale trade threat</w:t>
      </w:r>
      <w:r w:rsidR="008C4E4E">
        <w:rPr>
          <w:sz w:val="22"/>
          <w:szCs w:val="22"/>
        </w:rPr>
        <w:t>s</w:t>
      </w:r>
      <w:r>
        <w:rPr>
          <w:sz w:val="22"/>
          <w:szCs w:val="22"/>
        </w:rPr>
        <w:t xml:space="preserve"> followed by quick reversals </w:t>
      </w:r>
      <w:r w:rsidR="008C4E4E">
        <w:rPr>
          <w:sz w:val="22"/>
          <w:szCs w:val="22"/>
        </w:rPr>
        <w:t xml:space="preserve">lead Wall Street to </w:t>
      </w:r>
      <w:r w:rsidR="00BE03C4">
        <w:rPr>
          <w:sz w:val="22"/>
          <w:szCs w:val="22"/>
        </w:rPr>
        <w:t>introduce the moniker of</w:t>
      </w:r>
      <w:r>
        <w:rPr>
          <w:sz w:val="22"/>
          <w:szCs w:val="22"/>
        </w:rPr>
        <w:t xml:space="preserve"> the “TACO Trade”, </w:t>
      </w:r>
      <w:r w:rsidR="007E406B">
        <w:rPr>
          <w:sz w:val="22"/>
          <w:szCs w:val="22"/>
        </w:rPr>
        <w:t>or a recommendation to buy any</w:t>
      </w:r>
      <w:r w:rsidR="008C4E4E">
        <w:rPr>
          <w:sz w:val="22"/>
          <w:szCs w:val="22"/>
        </w:rPr>
        <w:t xml:space="preserve"> trade-related market dip on the certainty that “Trump Always Chickens Out.” </w:t>
      </w:r>
      <w:r w:rsidR="007E406B">
        <w:rPr>
          <w:sz w:val="22"/>
          <w:szCs w:val="22"/>
        </w:rPr>
        <w:t>Stocks seemed to ignore trade announcements altogether by quarter end. A June 12</w:t>
      </w:r>
      <w:r w:rsidR="007E406B" w:rsidRPr="007E406B">
        <w:rPr>
          <w:sz w:val="22"/>
          <w:szCs w:val="22"/>
          <w:vertAlign w:val="superscript"/>
        </w:rPr>
        <w:t>th</w:t>
      </w:r>
      <w:r w:rsidR="007E406B">
        <w:rPr>
          <w:sz w:val="22"/>
          <w:szCs w:val="22"/>
        </w:rPr>
        <w:t xml:space="preserve"> announcement o</w:t>
      </w:r>
      <w:r w:rsidR="00494BE8">
        <w:rPr>
          <w:sz w:val="22"/>
          <w:szCs w:val="22"/>
        </w:rPr>
        <w:t>f</w:t>
      </w:r>
      <w:r w:rsidR="007E406B">
        <w:rPr>
          <w:sz w:val="22"/>
          <w:szCs w:val="22"/>
        </w:rPr>
        <w:t xml:space="preserve"> significant hikes in tariffs on imported steel and aluminum, theoretically a significant threat to manufacturing </w:t>
      </w:r>
      <w:r w:rsidR="00494BE8">
        <w:rPr>
          <w:sz w:val="22"/>
          <w:szCs w:val="22"/>
        </w:rPr>
        <w:t xml:space="preserve">and industrial </w:t>
      </w:r>
      <w:r w:rsidR="007E406B">
        <w:rPr>
          <w:sz w:val="22"/>
          <w:szCs w:val="22"/>
        </w:rPr>
        <w:t>profit margins, resulted in no market reaction at all.</w:t>
      </w:r>
    </w:p>
    <w:p w14:paraId="1890FAEA" w14:textId="77777777" w:rsidR="00602B64" w:rsidRDefault="00602B64" w:rsidP="009254F4">
      <w:pPr>
        <w:pStyle w:val="Default"/>
        <w:rPr>
          <w:sz w:val="22"/>
          <w:szCs w:val="22"/>
        </w:rPr>
      </w:pPr>
    </w:p>
    <w:p w14:paraId="316DE5E3" w14:textId="1E85BD1E" w:rsidR="007E406B" w:rsidRDefault="00BE03C4" w:rsidP="009254F4">
      <w:pPr>
        <w:pStyle w:val="Default"/>
        <w:rPr>
          <w:sz w:val="22"/>
          <w:szCs w:val="22"/>
        </w:rPr>
      </w:pPr>
      <w:r>
        <w:rPr>
          <w:sz w:val="22"/>
          <w:szCs w:val="22"/>
        </w:rPr>
        <w:t>As t</w:t>
      </w:r>
      <w:r w:rsidR="00602B64">
        <w:rPr>
          <w:sz w:val="22"/>
          <w:szCs w:val="22"/>
        </w:rPr>
        <w:t xml:space="preserve">he “90 Deals in 90 Days” </w:t>
      </w:r>
      <w:r>
        <w:rPr>
          <w:sz w:val="22"/>
          <w:szCs w:val="22"/>
        </w:rPr>
        <w:t xml:space="preserve">time window </w:t>
      </w:r>
      <w:r w:rsidR="00F17678">
        <w:rPr>
          <w:sz w:val="22"/>
          <w:szCs w:val="22"/>
        </w:rPr>
        <w:t>near</w:t>
      </w:r>
      <w:r w:rsidR="00ED3A37">
        <w:rPr>
          <w:sz w:val="22"/>
          <w:szCs w:val="22"/>
        </w:rPr>
        <w:t>s</w:t>
      </w:r>
      <w:r w:rsidR="00F17678">
        <w:rPr>
          <w:sz w:val="22"/>
          <w:szCs w:val="22"/>
        </w:rPr>
        <w:t xml:space="preserve"> its end</w:t>
      </w:r>
      <w:r w:rsidR="00602B64">
        <w:rPr>
          <w:sz w:val="22"/>
          <w:szCs w:val="22"/>
        </w:rPr>
        <w:t>, only two draft frameworks ha</w:t>
      </w:r>
      <w:r w:rsidR="00826D1F">
        <w:rPr>
          <w:sz w:val="22"/>
          <w:szCs w:val="22"/>
        </w:rPr>
        <w:t>ve</w:t>
      </w:r>
      <w:r w:rsidR="00602B64">
        <w:rPr>
          <w:sz w:val="22"/>
          <w:szCs w:val="22"/>
        </w:rPr>
        <w:t xml:space="preserve"> been agreed to with no information </w:t>
      </w:r>
      <w:r>
        <w:rPr>
          <w:sz w:val="22"/>
          <w:szCs w:val="22"/>
        </w:rPr>
        <w:t xml:space="preserve">available on the timing or probability of final agreements with the remaining </w:t>
      </w:r>
      <w:r w:rsidR="00602B64">
        <w:rPr>
          <w:sz w:val="22"/>
          <w:szCs w:val="22"/>
        </w:rPr>
        <w:t xml:space="preserve">88 </w:t>
      </w:r>
      <w:r>
        <w:rPr>
          <w:sz w:val="22"/>
          <w:szCs w:val="22"/>
        </w:rPr>
        <w:t xml:space="preserve">key trading partners. The uncertainty of the Trump tariff plans should continue to hang over markets for the foreseeable future.  </w:t>
      </w:r>
    </w:p>
    <w:p w14:paraId="2DB1AD9E" w14:textId="77777777" w:rsidR="007E406B" w:rsidRDefault="007E406B" w:rsidP="009254F4">
      <w:pPr>
        <w:pStyle w:val="Default"/>
        <w:rPr>
          <w:sz w:val="22"/>
          <w:szCs w:val="22"/>
        </w:rPr>
      </w:pPr>
    </w:p>
    <w:p w14:paraId="03C15449" w14:textId="7005A3C7" w:rsidR="007E406B" w:rsidRPr="00A837E5" w:rsidRDefault="00A837E5" w:rsidP="007E406B">
      <w:pPr>
        <w:pStyle w:val="Default"/>
        <w:jc w:val="center"/>
        <w:rPr>
          <w:b/>
          <w:bCs/>
          <w:sz w:val="22"/>
          <w:szCs w:val="22"/>
          <w:u w:val="single"/>
        </w:rPr>
      </w:pPr>
      <w:r w:rsidRPr="00A837E5">
        <w:rPr>
          <w:b/>
          <w:bCs/>
          <w:sz w:val="22"/>
          <w:szCs w:val="22"/>
          <w:u w:val="single"/>
        </w:rPr>
        <w:t>The Big, Beautiful Bill</w:t>
      </w:r>
    </w:p>
    <w:p w14:paraId="7E7FAA8A" w14:textId="77777777" w:rsidR="004216AC" w:rsidRDefault="004216AC" w:rsidP="009254F4">
      <w:pPr>
        <w:pStyle w:val="Default"/>
        <w:rPr>
          <w:sz w:val="22"/>
          <w:szCs w:val="22"/>
        </w:rPr>
      </w:pPr>
    </w:p>
    <w:p w14:paraId="0DCA2788" w14:textId="4AA4AA44" w:rsidR="004216AC" w:rsidRDefault="004216AC" w:rsidP="009254F4">
      <w:pPr>
        <w:pStyle w:val="Default"/>
        <w:rPr>
          <w:sz w:val="22"/>
          <w:szCs w:val="22"/>
        </w:rPr>
      </w:pPr>
      <w:r>
        <w:rPr>
          <w:sz w:val="22"/>
          <w:szCs w:val="22"/>
        </w:rPr>
        <w:t xml:space="preserve">The other major economic event of the quarter was </w:t>
      </w:r>
      <w:r w:rsidR="00494BE8">
        <w:rPr>
          <w:sz w:val="22"/>
          <w:szCs w:val="22"/>
        </w:rPr>
        <w:t>passage of the new Congressional Budget, deemed the “Big, Beautiful Bill</w:t>
      </w:r>
      <w:r w:rsidR="00800A1D">
        <w:rPr>
          <w:sz w:val="22"/>
          <w:szCs w:val="22"/>
        </w:rPr>
        <w:t>.</w:t>
      </w:r>
      <w:r w:rsidR="00494BE8">
        <w:rPr>
          <w:sz w:val="22"/>
          <w:szCs w:val="22"/>
        </w:rPr>
        <w:t>”</w:t>
      </w:r>
      <w:r w:rsidR="00800A1D">
        <w:rPr>
          <w:sz w:val="22"/>
          <w:szCs w:val="22"/>
        </w:rPr>
        <w:t xml:space="preserve"> This legislation</w:t>
      </w:r>
      <w:r w:rsidR="00602B64">
        <w:rPr>
          <w:sz w:val="22"/>
          <w:szCs w:val="22"/>
        </w:rPr>
        <w:t xml:space="preserve"> made </w:t>
      </w:r>
      <w:r w:rsidR="00800A1D">
        <w:rPr>
          <w:sz w:val="22"/>
          <w:szCs w:val="22"/>
        </w:rPr>
        <w:t>permanent</w:t>
      </w:r>
      <w:r w:rsidR="00FA4CC1">
        <w:rPr>
          <w:sz w:val="22"/>
          <w:szCs w:val="22"/>
        </w:rPr>
        <w:t xml:space="preserve"> </w:t>
      </w:r>
      <w:r w:rsidR="00800A1D">
        <w:rPr>
          <w:sz w:val="22"/>
          <w:szCs w:val="22"/>
        </w:rPr>
        <w:t xml:space="preserve">previously </w:t>
      </w:r>
      <w:r w:rsidR="00602B64">
        <w:rPr>
          <w:sz w:val="22"/>
          <w:szCs w:val="22"/>
        </w:rPr>
        <w:t>temporary estate and income tax rates, added in several new tax breaks, and</w:t>
      </w:r>
      <w:r w:rsidR="00BE03C4">
        <w:rPr>
          <w:sz w:val="22"/>
          <w:szCs w:val="22"/>
        </w:rPr>
        <w:t xml:space="preserve"> targeted rollbacks of Medicare and Medicaid coverage</w:t>
      </w:r>
      <w:r w:rsidR="00FA4CC1">
        <w:rPr>
          <w:sz w:val="22"/>
          <w:szCs w:val="22"/>
        </w:rPr>
        <w:t>, SNAP food assistance, and many other federal subsidies</w:t>
      </w:r>
      <w:r w:rsidR="00EA2742">
        <w:rPr>
          <w:sz w:val="22"/>
          <w:szCs w:val="22"/>
        </w:rPr>
        <w:t xml:space="preserve">. </w:t>
      </w:r>
    </w:p>
    <w:p w14:paraId="5286F35C" w14:textId="77777777" w:rsidR="00F17678" w:rsidRDefault="00F17678" w:rsidP="009254F4">
      <w:pPr>
        <w:pStyle w:val="Default"/>
        <w:rPr>
          <w:sz w:val="22"/>
          <w:szCs w:val="22"/>
        </w:rPr>
      </w:pPr>
    </w:p>
    <w:p w14:paraId="258DB8C5" w14:textId="2BF0B476" w:rsidR="00F17678" w:rsidRDefault="00F17678" w:rsidP="009254F4">
      <w:pPr>
        <w:pStyle w:val="Default"/>
        <w:rPr>
          <w:sz w:val="22"/>
          <w:szCs w:val="22"/>
        </w:rPr>
      </w:pPr>
      <w:r>
        <w:rPr>
          <w:sz w:val="22"/>
          <w:szCs w:val="22"/>
        </w:rPr>
        <w:t xml:space="preserve">The bill was a boon for certain industries while punishing others. </w:t>
      </w:r>
      <w:r w:rsidR="00EB417F">
        <w:rPr>
          <w:sz w:val="22"/>
          <w:szCs w:val="22"/>
        </w:rPr>
        <w:t>S</w:t>
      </w:r>
      <w:r>
        <w:rPr>
          <w:sz w:val="22"/>
          <w:szCs w:val="22"/>
        </w:rPr>
        <w:t xml:space="preserve">ignificant </w:t>
      </w:r>
      <w:r w:rsidR="0081396C">
        <w:rPr>
          <w:sz w:val="22"/>
          <w:szCs w:val="22"/>
        </w:rPr>
        <w:t xml:space="preserve">defense outlays boosted aerospace and defense stocks </w:t>
      </w:r>
      <w:r w:rsidR="00EB417F">
        <w:rPr>
          <w:sz w:val="22"/>
          <w:szCs w:val="22"/>
        </w:rPr>
        <w:t>while</w:t>
      </w:r>
      <w:r w:rsidR="00FA4CC1">
        <w:rPr>
          <w:sz w:val="22"/>
          <w:szCs w:val="22"/>
        </w:rPr>
        <w:t xml:space="preserve"> bank stocks benefited from funding cuts to several financial regulatory groups, most notably the Consumer Financial Protection Bureau. Clean energy firms were a victim of the bill, which eliminated </w:t>
      </w:r>
      <w:r w:rsidR="00EB417F">
        <w:rPr>
          <w:sz w:val="22"/>
          <w:szCs w:val="22"/>
        </w:rPr>
        <w:t xml:space="preserve">several </w:t>
      </w:r>
      <w:r w:rsidR="00FA4CC1">
        <w:rPr>
          <w:sz w:val="22"/>
          <w:szCs w:val="22"/>
        </w:rPr>
        <w:t xml:space="preserve">tax credits enacted in the Biden </w:t>
      </w:r>
      <w:r w:rsidR="00EB417F">
        <w:rPr>
          <w:sz w:val="22"/>
          <w:szCs w:val="22"/>
        </w:rPr>
        <w:t>Administration</w:t>
      </w:r>
      <w:r w:rsidR="00FA4CC1">
        <w:rPr>
          <w:sz w:val="22"/>
          <w:szCs w:val="22"/>
        </w:rPr>
        <w:t xml:space="preserve"> for new wind and solar projects. Th</w:t>
      </w:r>
      <w:r w:rsidR="00EB417F">
        <w:rPr>
          <w:sz w:val="22"/>
          <w:szCs w:val="22"/>
        </w:rPr>
        <w:t xml:space="preserve">e bill also eliminated individual tax incentives for solar panels and electric vehicles. Health care stocks leveraged to federal Medicare and Medicaid spending all suffered, most notably health insurers and hospital focused real estate investment trusts.  </w:t>
      </w:r>
    </w:p>
    <w:p w14:paraId="7BE6B4BB" w14:textId="77777777" w:rsidR="00EB417F" w:rsidRDefault="00EB417F" w:rsidP="009254F4">
      <w:pPr>
        <w:pStyle w:val="Default"/>
        <w:rPr>
          <w:sz w:val="22"/>
          <w:szCs w:val="22"/>
        </w:rPr>
      </w:pPr>
    </w:p>
    <w:p w14:paraId="416BF5CE" w14:textId="218E7ECC" w:rsidR="00682E7E" w:rsidRDefault="00EB417F" w:rsidP="009254F4">
      <w:pPr>
        <w:pStyle w:val="Default"/>
        <w:rPr>
          <w:sz w:val="22"/>
          <w:szCs w:val="22"/>
        </w:rPr>
      </w:pPr>
      <w:r>
        <w:rPr>
          <w:sz w:val="22"/>
          <w:szCs w:val="22"/>
        </w:rPr>
        <w:t xml:space="preserve">In aggregate, the bill was viewed by analysts as net positive for </w:t>
      </w:r>
      <w:r w:rsidR="005A0CAE">
        <w:rPr>
          <w:sz w:val="22"/>
          <w:szCs w:val="22"/>
        </w:rPr>
        <w:t xml:space="preserve">near-term </w:t>
      </w:r>
      <w:r>
        <w:rPr>
          <w:sz w:val="22"/>
          <w:szCs w:val="22"/>
        </w:rPr>
        <w:t xml:space="preserve">economic growth </w:t>
      </w:r>
      <w:r w:rsidR="005A0CAE">
        <w:rPr>
          <w:sz w:val="22"/>
          <w:szCs w:val="22"/>
        </w:rPr>
        <w:t>and consumer spending</w:t>
      </w:r>
      <w:r w:rsidR="00800A1D">
        <w:rPr>
          <w:sz w:val="22"/>
          <w:szCs w:val="22"/>
        </w:rPr>
        <w:t>. It</w:t>
      </w:r>
      <w:r w:rsidR="005A0CAE">
        <w:rPr>
          <w:sz w:val="22"/>
          <w:szCs w:val="22"/>
        </w:rPr>
        <w:t xml:space="preserve"> eliminat</w:t>
      </w:r>
      <w:r w:rsidR="00800A1D">
        <w:rPr>
          <w:sz w:val="22"/>
          <w:szCs w:val="22"/>
        </w:rPr>
        <w:t>ed</w:t>
      </w:r>
      <w:r w:rsidR="005A0CAE">
        <w:rPr>
          <w:sz w:val="22"/>
          <w:szCs w:val="22"/>
        </w:rPr>
        <w:t xml:space="preserve"> pending tax increases built into previous legislation while restoring many recently pared back deductions and introducing several new ones such as exemptions for overtime and gratuity pay and auto loan interest. The bill was viewed as net negative by deficit hawks</w:t>
      </w:r>
      <w:r w:rsidR="00D75749">
        <w:rPr>
          <w:sz w:val="22"/>
          <w:szCs w:val="22"/>
        </w:rPr>
        <w:t xml:space="preserve">, who noted </w:t>
      </w:r>
      <w:r w:rsidR="00ED3A37">
        <w:rPr>
          <w:sz w:val="22"/>
          <w:szCs w:val="22"/>
        </w:rPr>
        <w:t xml:space="preserve">the </w:t>
      </w:r>
      <w:r w:rsidR="00D75749">
        <w:rPr>
          <w:sz w:val="22"/>
          <w:szCs w:val="22"/>
        </w:rPr>
        <w:t>loss of incremental tax revenue far outweighed the cost savings from reductions in federal outlays</w:t>
      </w:r>
      <w:r w:rsidR="005A0CAE">
        <w:rPr>
          <w:sz w:val="22"/>
          <w:szCs w:val="22"/>
        </w:rPr>
        <w:t>. The Congressional Budget Office scored the bill as adding an additional $2.4 Trillion to deficits over the next ten years</w:t>
      </w:r>
      <w:r w:rsidR="00D75749">
        <w:rPr>
          <w:sz w:val="22"/>
          <w:szCs w:val="22"/>
        </w:rPr>
        <w:t xml:space="preserve">, doubling federal interest costs by 2034, and increasing U.S Debt to GDP to 133% in the worst-case scenario, making the U.S. the third most indebted country in the world behind Japan and Italy. </w:t>
      </w:r>
    </w:p>
    <w:p w14:paraId="05FD6655" w14:textId="77777777" w:rsidR="00D75749" w:rsidRDefault="00D75749" w:rsidP="009254F4">
      <w:pPr>
        <w:pStyle w:val="Default"/>
        <w:rPr>
          <w:sz w:val="22"/>
          <w:szCs w:val="22"/>
        </w:rPr>
      </w:pPr>
    </w:p>
    <w:p w14:paraId="1A5290B8" w14:textId="09075193" w:rsidR="00D75749" w:rsidRPr="009254F4" w:rsidRDefault="00D75749" w:rsidP="009254F4">
      <w:pPr>
        <w:pStyle w:val="Default"/>
        <w:rPr>
          <w:sz w:val="22"/>
          <w:szCs w:val="22"/>
        </w:rPr>
      </w:pPr>
      <w:r>
        <w:rPr>
          <w:sz w:val="22"/>
          <w:szCs w:val="22"/>
        </w:rPr>
        <w:t xml:space="preserve">This mix of short-term gain and long-term pain explained the differing reactions during the quarter by stock and bond markets. Corporate profits are sure to benefit from the fiscal boost in this bill, helping to explain the stock market’s strong run while further strain </w:t>
      </w:r>
      <w:r w:rsidR="00E95F05">
        <w:rPr>
          <w:sz w:val="22"/>
          <w:szCs w:val="22"/>
        </w:rPr>
        <w:t>on</w:t>
      </w:r>
      <w:r>
        <w:rPr>
          <w:sz w:val="22"/>
          <w:szCs w:val="22"/>
        </w:rPr>
        <w:t xml:space="preserve"> the country’s </w:t>
      </w:r>
      <w:r w:rsidR="00E00E72">
        <w:rPr>
          <w:sz w:val="22"/>
          <w:szCs w:val="22"/>
        </w:rPr>
        <w:t>long-term</w:t>
      </w:r>
      <w:r>
        <w:rPr>
          <w:sz w:val="22"/>
          <w:szCs w:val="22"/>
        </w:rPr>
        <w:t xml:space="preserve"> fiscal outlook </w:t>
      </w:r>
      <w:r w:rsidR="004A1500">
        <w:rPr>
          <w:sz w:val="22"/>
          <w:szCs w:val="22"/>
        </w:rPr>
        <w:t>led</w:t>
      </w:r>
      <w:r>
        <w:rPr>
          <w:sz w:val="22"/>
          <w:szCs w:val="22"/>
        </w:rPr>
        <w:t xml:space="preserve"> to negative returns in longer</w:t>
      </w:r>
      <w:r w:rsidR="004A1500">
        <w:rPr>
          <w:sz w:val="22"/>
          <w:szCs w:val="22"/>
        </w:rPr>
        <w:t>-</w:t>
      </w:r>
      <w:r>
        <w:rPr>
          <w:sz w:val="22"/>
          <w:szCs w:val="22"/>
        </w:rPr>
        <w:t xml:space="preserve">dated Treasuries and </w:t>
      </w:r>
      <w:r w:rsidR="004A1500">
        <w:rPr>
          <w:sz w:val="22"/>
          <w:szCs w:val="22"/>
        </w:rPr>
        <w:t>c</w:t>
      </w:r>
      <w:r>
        <w:rPr>
          <w:sz w:val="22"/>
          <w:szCs w:val="22"/>
        </w:rPr>
        <w:t xml:space="preserve">orporate </w:t>
      </w:r>
      <w:r w:rsidR="004A1500">
        <w:rPr>
          <w:sz w:val="22"/>
          <w:szCs w:val="22"/>
        </w:rPr>
        <w:t>d</w:t>
      </w:r>
      <w:r>
        <w:rPr>
          <w:sz w:val="22"/>
          <w:szCs w:val="22"/>
        </w:rPr>
        <w:t xml:space="preserve">ebt. </w:t>
      </w:r>
    </w:p>
    <w:p w14:paraId="2528C273" w14:textId="77777777" w:rsidR="00ED34F9" w:rsidRDefault="00ED34F9" w:rsidP="00ED34F9">
      <w:pPr>
        <w:pStyle w:val="Default"/>
        <w:jc w:val="center"/>
        <w:rPr>
          <w:b/>
          <w:bCs/>
          <w:sz w:val="22"/>
          <w:szCs w:val="22"/>
          <w:u w:val="single"/>
        </w:rPr>
      </w:pPr>
    </w:p>
    <w:p w14:paraId="793629FE" w14:textId="6D26AEE5" w:rsidR="008D4D65" w:rsidRDefault="008D4D65" w:rsidP="00D75749">
      <w:pPr>
        <w:pStyle w:val="Default"/>
        <w:jc w:val="center"/>
        <w:rPr>
          <w:b/>
          <w:bCs/>
          <w:sz w:val="22"/>
          <w:szCs w:val="22"/>
          <w:u w:val="single"/>
        </w:rPr>
      </w:pPr>
      <w:r>
        <w:rPr>
          <w:b/>
          <w:bCs/>
          <w:sz w:val="22"/>
          <w:szCs w:val="22"/>
          <w:u w:val="single"/>
        </w:rPr>
        <w:lastRenderedPageBreak/>
        <w:t>Investment Strategy</w:t>
      </w:r>
    </w:p>
    <w:p w14:paraId="40E15496" w14:textId="40A66950" w:rsidR="00F850B3" w:rsidRDefault="00F850B3" w:rsidP="00AB6566">
      <w:pPr>
        <w:pStyle w:val="Default"/>
        <w:jc w:val="center"/>
        <w:rPr>
          <w:sz w:val="22"/>
          <w:szCs w:val="22"/>
        </w:rPr>
      </w:pPr>
    </w:p>
    <w:p w14:paraId="757204D3" w14:textId="67610B8A" w:rsidR="006A2E1B" w:rsidRDefault="00E95F05" w:rsidP="00E95F05">
      <w:pPr>
        <w:pStyle w:val="Default"/>
        <w:rPr>
          <w:sz w:val="22"/>
          <w:szCs w:val="22"/>
        </w:rPr>
      </w:pPr>
      <w:r>
        <w:rPr>
          <w:sz w:val="22"/>
          <w:szCs w:val="22"/>
        </w:rPr>
        <w:t xml:space="preserve">With the trade situation unresolved and geopolitical concerns still heightened, we expect macro issues to continue to play a historically outsized role </w:t>
      </w:r>
      <w:r w:rsidR="006A2E1B">
        <w:rPr>
          <w:sz w:val="22"/>
          <w:szCs w:val="22"/>
        </w:rPr>
        <w:t>in markets over the next several quarters</w:t>
      </w:r>
      <w:r>
        <w:rPr>
          <w:sz w:val="22"/>
          <w:szCs w:val="22"/>
        </w:rPr>
        <w:t>. We had</w:t>
      </w:r>
      <w:r w:rsidR="006A2E1B">
        <w:rPr>
          <w:sz w:val="22"/>
          <w:szCs w:val="22"/>
        </w:rPr>
        <w:t xml:space="preserve">, in our last letter, scoped the potential impact of the Trump Administration’s trade policy as </w:t>
      </w:r>
      <w:r w:rsidR="006A2E1B" w:rsidRPr="006A2E1B">
        <w:rPr>
          <w:sz w:val="22"/>
          <w:szCs w:val="22"/>
        </w:rPr>
        <w:t>mildly negative should the Trump team completely unwind its trade stance to truly recessionary if trade hostilities remain in place.</w:t>
      </w:r>
      <w:r w:rsidR="006A2E1B">
        <w:rPr>
          <w:sz w:val="22"/>
          <w:szCs w:val="22"/>
        </w:rPr>
        <w:t xml:space="preserve"> The quick </w:t>
      </w:r>
      <w:r w:rsidR="001E599A">
        <w:rPr>
          <w:sz w:val="22"/>
          <w:szCs w:val="22"/>
        </w:rPr>
        <w:t xml:space="preserve">trade </w:t>
      </w:r>
      <w:r w:rsidR="006A2E1B">
        <w:rPr>
          <w:sz w:val="22"/>
          <w:szCs w:val="22"/>
        </w:rPr>
        <w:t xml:space="preserve">reversals by the White House during the second quarter </w:t>
      </w:r>
      <w:r w:rsidR="004A1500">
        <w:rPr>
          <w:sz w:val="22"/>
          <w:szCs w:val="22"/>
        </w:rPr>
        <w:t>indicate</w:t>
      </w:r>
      <w:r w:rsidR="006A2E1B">
        <w:rPr>
          <w:sz w:val="22"/>
          <w:szCs w:val="22"/>
        </w:rPr>
        <w:t xml:space="preserve"> the mildly negative scenario as the most likely outcome</w:t>
      </w:r>
      <w:r w:rsidR="00800A1D">
        <w:rPr>
          <w:sz w:val="22"/>
          <w:szCs w:val="22"/>
        </w:rPr>
        <w:t>. E</w:t>
      </w:r>
      <w:r w:rsidR="006A2E1B">
        <w:rPr>
          <w:sz w:val="22"/>
          <w:szCs w:val="22"/>
        </w:rPr>
        <w:t xml:space="preserve">ven in that </w:t>
      </w:r>
      <w:r w:rsidR="00800A1D">
        <w:rPr>
          <w:sz w:val="22"/>
          <w:szCs w:val="22"/>
        </w:rPr>
        <w:t>scenario</w:t>
      </w:r>
      <w:r w:rsidR="004A1500">
        <w:rPr>
          <w:sz w:val="22"/>
          <w:szCs w:val="22"/>
        </w:rPr>
        <w:t xml:space="preserve">, </w:t>
      </w:r>
      <w:r w:rsidR="006A2E1B">
        <w:rPr>
          <w:sz w:val="22"/>
          <w:szCs w:val="22"/>
        </w:rPr>
        <w:t xml:space="preserve">tariffs will still be elevated and likely have their historically proven impact of </w:t>
      </w:r>
      <w:r w:rsidR="006A2E1B" w:rsidRPr="00967625">
        <w:rPr>
          <w:sz w:val="22"/>
          <w:szCs w:val="22"/>
        </w:rPr>
        <w:t>spur</w:t>
      </w:r>
      <w:r w:rsidR="006A2E1B">
        <w:rPr>
          <w:sz w:val="22"/>
          <w:szCs w:val="22"/>
        </w:rPr>
        <w:t>ring</w:t>
      </w:r>
      <w:r w:rsidR="006A2E1B" w:rsidRPr="00967625">
        <w:rPr>
          <w:sz w:val="22"/>
          <w:szCs w:val="22"/>
        </w:rPr>
        <w:t xml:space="preserve"> inflation, reduc</w:t>
      </w:r>
      <w:r w:rsidR="006A2E1B">
        <w:rPr>
          <w:sz w:val="22"/>
          <w:szCs w:val="22"/>
        </w:rPr>
        <w:t>ing</w:t>
      </w:r>
      <w:r w:rsidR="006A2E1B" w:rsidRPr="00967625">
        <w:rPr>
          <w:sz w:val="22"/>
          <w:szCs w:val="22"/>
        </w:rPr>
        <w:t xml:space="preserve"> demand, and negatively impact</w:t>
      </w:r>
      <w:r w:rsidR="006A2E1B">
        <w:rPr>
          <w:sz w:val="22"/>
          <w:szCs w:val="22"/>
        </w:rPr>
        <w:t>ing</w:t>
      </w:r>
      <w:r w:rsidR="006A2E1B" w:rsidRPr="00967625">
        <w:rPr>
          <w:sz w:val="22"/>
          <w:szCs w:val="22"/>
        </w:rPr>
        <w:t xml:space="preserve"> business confidence</w:t>
      </w:r>
      <w:r w:rsidR="006A2E1B">
        <w:rPr>
          <w:sz w:val="22"/>
          <w:szCs w:val="22"/>
        </w:rPr>
        <w:t>.</w:t>
      </w:r>
    </w:p>
    <w:p w14:paraId="0380DB39" w14:textId="77777777" w:rsidR="001E599A" w:rsidRDefault="001E599A" w:rsidP="00E95F05">
      <w:pPr>
        <w:pStyle w:val="Default"/>
        <w:rPr>
          <w:sz w:val="22"/>
          <w:szCs w:val="22"/>
        </w:rPr>
      </w:pPr>
    </w:p>
    <w:p w14:paraId="5FD775E0" w14:textId="07791F7C" w:rsidR="001E599A" w:rsidRDefault="001E599A" w:rsidP="00E95F05">
      <w:pPr>
        <w:pStyle w:val="Default"/>
        <w:rPr>
          <w:sz w:val="22"/>
          <w:szCs w:val="22"/>
        </w:rPr>
      </w:pPr>
      <w:r>
        <w:rPr>
          <w:sz w:val="22"/>
          <w:szCs w:val="22"/>
        </w:rPr>
        <w:t xml:space="preserve">Another unresolved macro-factor is the potential for Federal Reserve rate cuts over the near term. Fed analysts have a </w:t>
      </w:r>
      <w:r w:rsidR="000958B2">
        <w:rPr>
          <w:sz w:val="22"/>
          <w:szCs w:val="22"/>
        </w:rPr>
        <w:t xml:space="preserve">very </w:t>
      </w:r>
      <w:r>
        <w:rPr>
          <w:sz w:val="22"/>
          <w:szCs w:val="22"/>
        </w:rPr>
        <w:t xml:space="preserve">tough job weighing </w:t>
      </w:r>
      <w:r w:rsidR="000958B2">
        <w:rPr>
          <w:sz w:val="22"/>
          <w:szCs w:val="22"/>
        </w:rPr>
        <w:t>the potentially negative impact of Trump trade policy on future growth and employment and deteriorating macroeconomic data against the inflationary implications of the tariffs. The Fed held rates steady in its most recent meeting, but futures markets are forecasting 50 basis points in cuts to the Fed Funds rate through year end.</w:t>
      </w:r>
    </w:p>
    <w:p w14:paraId="5A6907C1" w14:textId="77777777" w:rsidR="000958B2" w:rsidRDefault="000958B2" w:rsidP="00E95F05">
      <w:pPr>
        <w:pStyle w:val="Default"/>
        <w:rPr>
          <w:sz w:val="22"/>
          <w:szCs w:val="22"/>
        </w:rPr>
      </w:pPr>
    </w:p>
    <w:p w14:paraId="1CDCAAB6" w14:textId="4712E97B" w:rsidR="00E00E72" w:rsidRDefault="004A1500" w:rsidP="00E95F05">
      <w:pPr>
        <w:pStyle w:val="Default"/>
        <w:rPr>
          <w:sz w:val="22"/>
          <w:szCs w:val="22"/>
        </w:rPr>
      </w:pPr>
      <w:r>
        <w:rPr>
          <w:sz w:val="22"/>
          <w:szCs w:val="22"/>
        </w:rPr>
        <w:t>The</w:t>
      </w:r>
      <w:r w:rsidR="000958B2">
        <w:rPr>
          <w:sz w:val="22"/>
          <w:szCs w:val="22"/>
        </w:rPr>
        <w:t xml:space="preserve"> significant </w:t>
      </w:r>
      <w:r w:rsidR="00E00E72">
        <w:rPr>
          <w:sz w:val="22"/>
          <w:szCs w:val="22"/>
        </w:rPr>
        <w:t>rebound in stock markets provides little margin for error going forward. The true impact of Washington policy (if any) on corporate profits has yet to be felt and</w:t>
      </w:r>
      <w:r w:rsidR="003E1ED7">
        <w:rPr>
          <w:sz w:val="22"/>
          <w:szCs w:val="22"/>
        </w:rPr>
        <w:t xml:space="preserve"> will become apparent over the next few quarters. A</w:t>
      </w:r>
      <w:r w:rsidR="00E00E72">
        <w:rPr>
          <w:sz w:val="22"/>
          <w:szCs w:val="22"/>
        </w:rPr>
        <w:t xml:space="preserve">ny negative trend in growth or profitability is sure to stoke market volatility. </w:t>
      </w:r>
    </w:p>
    <w:p w14:paraId="51345E73" w14:textId="77777777" w:rsidR="00E00E72" w:rsidRDefault="00E00E72" w:rsidP="00E95F05">
      <w:pPr>
        <w:pStyle w:val="Default"/>
        <w:rPr>
          <w:sz w:val="22"/>
          <w:szCs w:val="22"/>
        </w:rPr>
      </w:pPr>
    </w:p>
    <w:p w14:paraId="7158C931" w14:textId="3CB63BE2" w:rsidR="00E00E72" w:rsidRDefault="00E00E72" w:rsidP="00E95F05">
      <w:pPr>
        <w:pStyle w:val="Default"/>
        <w:rPr>
          <w:sz w:val="22"/>
          <w:szCs w:val="22"/>
        </w:rPr>
      </w:pPr>
      <w:r>
        <w:rPr>
          <w:sz w:val="22"/>
          <w:szCs w:val="22"/>
        </w:rPr>
        <w:t>In terms of fixed income investments, we advocated for many quarters extending durations in your bond holding</w:t>
      </w:r>
      <w:r w:rsidR="00CF0C49">
        <w:rPr>
          <w:sz w:val="22"/>
          <w:szCs w:val="22"/>
        </w:rPr>
        <w:t>s</w:t>
      </w:r>
      <w:r>
        <w:rPr>
          <w:sz w:val="22"/>
          <w:szCs w:val="22"/>
        </w:rPr>
        <w:t xml:space="preserve"> but </w:t>
      </w:r>
      <w:r w:rsidR="00CF0C49">
        <w:rPr>
          <w:sz w:val="22"/>
          <w:szCs w:val="22"/>
        </w:rPr>
        <w:t>mounting</w:t>
      </w:r>
      <w:r>
        <w:rPr>
          <w:sz w:val="22"/>
          <w:szCs w:val="22"/>
        </w:rPr>
        <w:t xml:space="preserve"> concerns over inflation and increasing bond market skepticism over the U.S. fiscal situation make that a lower probability payoff. Turtle Creek Trust has always treated </w:t>
      </w:r>
      <w:r w:rsidR="004A1500">
        <w:rPr>
          <w:sz w:val="22"/>
          <w:szCs w:val="22"/>
        </w:rPr>
        <w:t xml:space="preserve">fixed income holdings as the ballast of your portfolio, and we will continue to make sure your bonds are of appropriate quality and avoid unnecessary rates risk. </w:t>
      </w:r>
    </w:p>
    <w:p w14:paraId="18D89D55" w14:textId="77777777" w:rsidR="006A2E1B" w:rsidRDefault="006A2E1B" w:rsidP="00E95F05">
      <w:pPr>
        <w:pStyle w:val="Default"/>
        <w:rPr>
          <w:sz w:val="22"/>
          <w:szCs w:val="22"/>
        </w:rPr>
      </w:pPr>
    </w:p>
    <w:p w14:paraId="14736B99" w14:textId="34B5BE45" w:rsidR="00656087" w:rsidRDefault="004A1500" w:rsidP="00E95F05">
      <w:pPr>
        <w:pStyle w:val="Default"/>
        <w:rPr>
          <w:sz w:val="22"/>
          <w:szCs w:val="22"/>
        </w:rPr>
      </w:pPr>
      <w:r>
        <w:rPr>
          <w:sz w:val="22"/>
          <w:szCs w:val="22"/>
        </w:rPr>
        <w:t>Given all of the above, we urge you to stick to the bear market playbook</w:t>
      </w:r>
      <w:r w:rsidR="00656087">
        <w:rPr>
          <w:sz w:val="22"/>
          <w:szCs w:val="22"/>
        </w:rPr>
        <w:t xml:space="preserve"> by rebalancing into allocations, funding near term obligations no matter the market backdrop, and stepping into attractive discounts to intrinsic value introduced by market volatility</w:t>
      </w:r>
      <w:r>
        <w:rPr>
          <w:sz w:val="22"/>
          <w:szCs w:val="22"/>
        </w:rPr>
        <w:t xml:space="preserve">. We hope all of the above comments represent undue caution and the near-term benefits of Federal Reserve cuts, the fiscal boost from the recent budget bill, and the general resilience of the U.S. economy allows stock markets to prosper. </w:t>
      </w:r>
      <w:r w:rsidR="00656087">
        <w:rPr>
          <w:sz w:val="22"/>
          <w:szCs w:val="22"/>
        </w:rPr>
        <w:t xml:space="preserve">We will remain nimble, however, as that process unfolds. For longer-term investors, we continue to urge you to maintain buy and hold discipline as economic history shows markets have endured much more uncertain periods than this one while rewarding investors that stayed the course. </w:t>
      </w:r>
    </w:p>
    <w:p w14:paraId="5A3F9439" w14:textId="77777777" w:rsidR="00656087" w:rsidRDefault="00656087" w:rsidP="00E95F05">
      <w:pPr>
        <w:pStyle w:val="Default"/>
        <w:rPr>
          <w:sz w:val="22"/>
          <w:szCs w:val="22"/>
        </w:rPr>
      </w:pPr>
    </w:p>
    <w:p w14:paraId="35F930DA" w14:textId="46618856" w:rsidR="00656087" w:rsidRDefault="00656087" w:rsidP="00656087">
      <w:pPr>
        <w:pStyle w:val="Default"/>
        <w:rPr>
          <w:sz w:val="22"/>
          <w:szCs w:val="22"/>
        </w:rPr>
      </w:pPr>
      <w:r>
        <w:rPr>
          <w:sz w:val="22"/>
          <w:szCs w:val="22"/>
        </w:rPr>
        <w:t xml:space="preserve">As always, we hope to discuss these points and any other questions or concerns with you in the weeks ahead. Please call or write with any questions. </w:t>
      </w:r>
    </w:p>
    <w:p w14:paraId="2AB2223C" w14:textId="33D3DE68" w:rsidR="004A1500" w:rsidRDefault="004A1500" w:rsidP="00E95F05">
      <w:pPr>
        <w:pStyle w:val="Default"/>
        <w:rPr>
          <w:sz w:val="22"/>
          <w:szCs w:val="22"/>
        </w:rPr>
      </w:pPr>
      <w:r>
        <w:rPr>
          <w:sz w:val="22"/>
          <w:szCs w:val="22"/>
        </w:rPr>
        <w:t xml:space="preserve"> </w:t>
      </w:r>
    </w:p>
    <w:p w14:paraId="4A1433D1" w14:textId="77777777" w:rsidR="006A2E1B" w:rsidRDefault="006A2E1B" w:rsidP="00E95F05">
      <w:pPr>
        <w:pStyle w:val="Default"/>
        <w:rPr>
          <w:sz w:val="22"/>
          <w:szCs w:val="22"/>
        </w:rPr>
      </w:pPr>
    </w:p>
    <w:p w14:paraId="67136A55" w14:textId="77777777" w:rsidR="002231F9" w:rsidRDefault="002231F9" w:rsidP="009C7472">
      <w:pPr>
        <w:pStyle w:val="Default"/>
        <w:rPr>
          <w:sz w:val="22"/>
          <w:szCs w:val="22"/>
        </w:rPr>
      </w:pPr>
    </w:p>
    <w:p w14:paraId="0ECBF40E" w14:textId="77777777" w:rsidR="002231F9" w:rsidRDefault="002231F9" w:rsidP="009C7472">
      <w:pPr>
        <w:pStyle w:val="Default"/>
        <w:rPr>
          <w:sz w:val="22"/>
          <w:szCs w:val="22"/>
        </w:rPr>
      </w:pPr>
    </w:p>
    <w:p w14:paraId="48E492DC" w14:textId="77777777" w:rsidR="002231F9" w:rsidRDefault="002231F9" w:rsidP="009C7472">
      <w:pPr>
        <w:pStyle w:val="Default"/>
        <w:rPr>
          <w:sz w:val="22"/>
          <w:szCs w:val="22"/>
        </w:rPr>
      </w:pPr>
    </w:p>
    <w:p w14:paraId="00F79F9F" w14:textId="77777777" w:rsidR="002231F9" w:rsidRDefault="002231F9" w:rsidP="009C7472">
      <w:pPr>
        <w:pStyle w:val="Default"/>
        <w:rPr>
          <w:sz w:val="22"/>
          <w:szCs w:val="22"/>
        </w:rPr>
      </w:pPr>
    </w:p>
    <w:p w14:paraId="14EF31F6" w14:textId="77777777" w:rsidR="002231F9" w:rsidRDefault="002231F9" w:rsidP="009C7472">
      <w:pPr>
        <w:pStyle w:val="Default"/>
        <w:rPr>
          <w:sz w:val="22"/>
          <w:szCs w:val="22"/>
        </w:rPr>
      </w:pPr>
    </w:p>
    <w:p w14:paraId="1CDC71A7" w14:textId="189DC8E9" w:rsidR="00364AEF" w:rsidRDefault="009C7472" w:rsidP="009C7472">
      <w:pPr>
        <w:pStyle w:val="Default"/>
      </w:pPr>
      <w:r>
        <w:rPr>
          <w:sz w:val="22"/>
          <w:szCs w:val="22"/>
        </w:rPr>
        <w:t>Sincerely,</w:t>
      </w:r>
    </w:p>
    <w:p w14:paraId="4C1DA2FF" w14:textId="2802F08C" w:rsidR="00364AEF" w:rsidRDefault="00364AEF" w:rsidP="000D5B73">
      <w:pPr>
        <w:spacing w:after="0" w:line="240" w:lineRule="auto"/>
        <w:rPr>
          <w:rFonts w:ascii="Times New Roman" w:hAnsi="Times New Roman" w:cs="Times New Roman"/>
        </w:rPr>
      </w:pPr>
    </w:p>
    <w:p w14:paraId="13D2F185" w14:textId="77777777" w:rsidR="00364AEF" w:rsidRDefault="00364AEF" w:rsidP="000D5B73">
      <w:pPr>
        <w:spacing w:after="0" w:line="240" w:lineRule="auto"/>
        <w:rPr>
          <w:rFonts w:ascii="Times New Roman" w:hAnsi="Times New Roman" w:cs="Times New Roman"/>
        </w:rPr>
      </w:pPr>
    </w:p>
    <w:p w14:paraId="7ADB1CD7" w14:textId="03FC0F61" w:rsidR="00F926DB" w:rsidRDefault="00DF150D" w:rsidP="000D5B73">
      <w:pPr>
        <w:spacing w:after="0" w:line="240" w:lineRule="auto"/>
        <w:rPr>
          <w:rFonts w:ascii="Times New Roman" w:hAnsi="Times New Roman" w:cs="Times New Roman"/>
        </w:rPr>
      </w:pPr>
      <w:r w:rsidRPr="009342E4">
        <w:rPr>
          <w:rFonts w:ascii="Times New Roman" w:hAnsi="Times New Roman" w:cs="Times New Roman"/>
        </w:rPr>
        <w:t>TURTLE CREEK TRUST</w:t>
      </w:r>
    </w:p>
    <w:p w14:paraId="55ABABCE" w14:textId="77777777" w:rsidR="000B46DA" w:rsidRDefault="000B46DA" w:rsidP="000D5B73">
      <w:pPr>
        <w:spacing w:after="0" w:line="240" w:lineRule="auto"/>
        <w:rPr>
          <w:rFonts w:ascii="Times New Roman" w:hAnsi="Times New Roman" w:cs="Times New Roman"/>
        </w:rPr>
      </w:pPr>
    </w:p>
    <w:p w14:paraId="0B98D487" w14:textId="77777777" w:rsidR="000B46DA" w:rsidRDefault="000B46DA" w:rsidP="000D5B73">
      <w:pPr>
        <w:spacing w:after="0" w:line="240" w:lineRule="auto"/>
        <w:rPr>
          <w:rFonts w:ascii="Times New Roman" w:hAnsi="Times New Roman" w:cs="Times New Roman"/>
        </w:rPr>
      </w:pPr>
    </w:p>
    <w:p w14:paraId="33FE1804" w14:textId="77777777" w:rsidR="002231F9" w:rsidRDefault="002231F9" w:rsidP="000D5B73">
      <w:pPr>
        <w:spacing w:after="0" w:line="240" w:lineRule="auto"/>
        <w:rPr>
          <w:rFonts w:ascii="Times New Roman" w:hAnsi="Times New Roman" w:cs="Times New Roman"/>
          <w:sz w:val="18"/>
          <w:szCs w:val="18"/>
        </w:rPr>
      </w:pPr>
    </w:p>
    <w:p w14:paraId="605B7645" w14:textId="77777777" w:rsidR="002231F9" w:rsidRDefault="002231F9" w:rsidP="000D5B73">
      <w:pPr>
        <w:spacing w:after="0" w:line="240" w:lineRule="auto"/>
        <w:rPr>
          <w:rFonts w:ascii="Times New Roman" w:hAnsi="Times New Roman" w:cs="Times New Roman"/>
          <w:sz w:val="18"/>
          <w:szCs w:val="18"/>
        </w:rPr>
      </w:pPr>
    </w:p>
    <w:p w14:paraId="1D3EF9B8" w14:textId="77777777" w:rsidR="002231F9" w:rsidRDefault="002231F9" w:rsidP="000D5B73">
      <w:pPr>
        <w:spacing w:after="0" w:line="240" w:lineRule="auto"/>
        <w:rPr>
          <w:rFonts w:ascii="Times New Roman" w:hAnsi="Times New Roman" w:cs="Times New Roman"/>
          <w:sz w:val="18"/>
          <w:szCs w:val="18"/>
        </w:rPr>
      </w:pPr>
    </w:p>
    <w:p w14:paraId="333BF2B9" w14:textId="77777777" w:rsidR="002231F9" w:rsidRDefault="002231F9" w:rsidP="000D5B73">
      <w:pPr>
        <w:spacing w:after="0" w:line="240" w:lineRule="auto"/>
        <w:rPr>
          <w:rFonts w:ascii="Times New Roman" w:hAnsi="Times New Roman" w:cs="Times New Roman"/>
          <w:sz w:val="18"/>
          <w:szCs w:val="18"/>
        </w:rPr>
      </w:pPr>
    </w:p>
    <w:p w14:paraId="068FFB99" w14:textId="77777777" w:rsidR="002231F9" w:rsidRDefault="002231F9" w:rsidP="000D5B73">
      <w:pPr>
        <w:spacing w:after="0" w:line="240" w:lineRule="auto"/>
        <w:rPr>
          <w:rFonts w:ascii="Times New Roman" w:hAnsi="Times New Roman" w:cs="Times New Roman"/>
          <w:sz w:val="18"/>
          <w:szCs w:val="18"/>
        </w:rPr>
      </w:pPr>
    </w:p>
    <w:p w14:paraId="79A63C97" w14:textId="77777777" w:rsidR="002231F9" w:rsidRDefault="002231F9" w:rsidP="000D5B73">
      <w:pPr>
        <w:spacing w:after="0" w:line="240" w:lineRule="auto"/>
        <w:rPr>
          <w:rFonts w:ascii="Times New Roman" w:hAnsi="Times New Roman" w:cs="Times New Roman"/>
          <w:sz w:val="18"/>
          <w:szCs w:val="18"/>
        </w:rPr>
      </w:pPr>
    </w:p>
    <w:p w14:paraId="4407FAFD" w14:textId="77777777" w:rsidR="002231F9" w:rsidRDefault="002231F9" w:rsidP="000D5B73">
      <w:pPr>
        <w:spacing w:after="0" w:line="240" w:lineRule="auto"/>
        <w:rPr>
          <w:rFonts w:ascii="Times New Roman" w:hAnsi="Times New Roman" w:cs="Times New Roman"/>
          <w:sz w:val="18"/>
          <w:szCs w:val="18"/>
        </w:rPr>
      </w:pPr>
    </w:p>
    <w:p w14:paraId="5BCE9C7C" w14:textId="77777777" w:rsidR="002231F9" w:rsidRDefault="002231F9" w:rsidP="000D5B73">
      <w:pPr>
        <w:spacing w:after="0" w:line="240" w:lineRule="auto"/>
        <w:rPr>
          <w:rFonts w:ascii="Times New Roman" w:hAnsi="Times New Roman" w:cs="Times New Roman"/>
          <w:sz w:val="18"/>
          <w:szCs w:val="18"/>
        </w:rPr>
      </w:pPr>
    </w:p>
    <w:p w14:paraId="26D5DF9D" w14:textId="77777777" w:rsidR="002231F9" w:rsidRDefault="002231F9" w:rsidP="000D5B73">
      <w:pPr>
        <w:spacing w:after="0" w:line="240" w:lineRule="auto"/>
        <w:rPr>
          <w:rFonts w:ascii="Times New Roman" w:hAnsi="Times New Roman" w:cs="Times New Roman"/>
          <w:sz w:val="18"/>
          <w:szCs w:val="18"/>
        </w:rPr>
      </w:pPr>
    </w:p>
    <w:p w14:paraId="1FE154D2" w14:textId="77777777" w:rsidR="002231F9" w:rsidRDefault="002231F9" w:rsidP="000D5B73">
      <w:pPr>
        <w:spacing w:after="0" w:line="240" w:lineRule="auto"/>
        <w:rPr>
          <w:rFonts w:ascii="Times New Roman" w:hAnsi="Times New Roman" w:cs="Times New Roman"/>
          <w:sz w:val="18"/>
          <w:szCs w:val="18"/>
        </w:rPr>
      </w:pPr>
    </w:p>
    <w:p w14:paraId="18D434E0" w14:textId="77777777" w:rsidR="002231F9" w:rsidRDefault="002231F9" w:rsidP="000D5B73">
      <w:pPr>
        <w:spacing w:after="0" w:line="240" w:lineRule="auto"/>
        <w:rPr>
          <w:rFonts w:ascii="Times New Roman" w:hAnsi="Times New Roman" w:cs="Times New Roman"/>
          <w:sz w:val="18"/>
          <w:szCs w:val="18"/>
        </w:rPr>
      </w:pPr>
    </w:p>
    <w:p w14:paraId="511D21F3" w14:textId="77777777" w:rsidR="002231F9" w:rsidRDefault="002231F9" w:rsidP="000D5B73">
      <w:pPr>
        <w:spacing w:after="0" w:line="240" w:lineRule="auto"/>
        <w:rPr>
          <w:rFonts w:ascii="Times New Roman" w:hAnsi="Times New Roman" w:cs="Times New Roman"/>
          <w:sz w:val="18"/>
          <w:szCs w:val="18"/>
        </w:rPr>
      </w:pPr>
    </w:p>
    <w:p w14:paraId="1C33EE9B" w14:textId="77777777" w:rsidR="002231F9" w:rsidRDefault="002231F9" w:rsidP="000D5B73">
      <w:pPr>
        <w:spacing w:after="0" w:line="240" w:lineRule="auto"/>
        <w:rPr>
          <w:rFonts w:ascii="Times New Roman" w:hAnsi="Times New Roman" w:cs="Times New Roman"/>
          <w:sz w:val="18"/>
          <w:szCs w:val="18"/>
        </w:rPr>
      </w:pPr>
    </w:p>
    <w:p w14:paraId="5EC16F90" w14:textId="77777777" w:rsidR="002231F9" w:rsidRDefault="002231F9" w:rsidP="000D5B73">
      <w:pPr>
        <w:spacing w:after="0" w:line="240" w:lineRule="auto"/>
        <w:rPr>
          <w:rFonts w:ascii="Times New Roman" w:hAnsi="Times New Roman" w:cs="Times New Roman"/>
          <w:sz w:val="18"/>
          <w:szCs w:val="18"/>
        </w:rPr>
      </w:pPr>
    </w:p>
    <w:p w14:paraId="1AD82E87" w14:textId="77777777" w:rsidR="002231F9" w:rsidRDefault="002231F9" w:rsidP="000D5B73">
      <w:pPr>
        <w:spacing w:after="0" w:line="240" w:lineRule="auto"/>
        <w:rPr>
          <w:rFonts w:ascii="Times New Roman" w:hAnsi="Times New Roman" w:cs="Times New Roman"/>
          <w:sz w:val="18"/>
          <w:szCs w:val="18"/>
        </w:rPr>
      </w:pPr>
    </w:p>
    <w:p w14:paraId="5DAC5F7B" w14:textId="77777777" w:rsidR="002231F9" w:rsidRDefault="002231F9" w:rsidP="000D5B73">
      <w:pPr>
        <w:spacing w:after="0" w:line="240" w:lineRule="auto"/>
        <w:rPr>
          <w:rFonts w:ascii="Times New Roman" w:hAnsi="Times New Roman" w:cs="Times New Roman"/>
          <w:sz w:val="18"/>
          <w:szCs w:val="18"/>
        </w:rPr>
      </w:pPr>
    </w:p>
    <w:p w14:paraId="4BCF8C85" w14:textId="77777777" w:rsidR="002231F9" w:rsidRDefault="002231F9" w:rsidP="000D5B73">
      <w:pPr>
        <w:spacing w:after="0" w:line="240" w:lineRule="auto"/>
        <w:rPr>
          <w:rFonts w:ascii="Times New Roman" w:hAnsi="Times New Roman" w:cs="Times New Roman"/>
          <w:sz w:val="18"/>
          <w:szCs w:val="18"/>
        </w:rPr>
      </w:pPr>
    </w:p>
    <w:p w14:paraId="0A130C27" w14:textId="77777777" w:rsidR="002231F9" w:rsidRDefault="002231F9" w:rsidP="000D5B73">
      <w:pPr>
        <w:spacing w:after="0" w:line="240" w:lineRule="auto"/>
        <w:rPr>
          <w:rFonts w:ascii="Times New Roman" w:hAnsi="Times New Roman" w:cs="Times New Roman"/>
          <w:sz w:val="18"/>
          <w:szCs w:val="18"/>
        </w:rPr>
      </w:pPr>
    </w:p>
    <w:p w14:paraId="1E5FF619" w14:textId="77777777" w:rsidR="002231F9" w:rsidRDefault="002231F9" w:rsidP="000D5B73">
      <w:pPr>
        <w:spacing w:after="0" w:line="240" w:lineRule="auto"/>
        <w:rPr>
          <w:rFonts w:ascii="Times New Roman" w:hAnsi="Times New Roman" w:cs="Times New Roman"/>
          <w:sz w:val="18"/>
          <w:szCs w:val="18"/>
        </w:rPr>
      </w:pPr>
    </w:p>
    <w:p w14:paraId="2033EAA3" w14:textId="77777777" w:rsidR="002231F9" w:rsidRDefault="002231F9" w:rsidP="000D5B73">
      <w:pPr>
        <w:spacing w:after="0" w:line="240" w:lineRule="auto"/>
        <w:rPr>
          <w:rFonts w:ascii="Times New Roman" w:hAnsi="Times New Roman" w:cs="Times New Roman"/>
          <w:sz w:val="18"/>
          <w:szCs w:val="18"/>
        </w:rPr>
      </w:pPr>
    </w:p>
    <w:p w14:paraId="2E6FA063" w14:textId="77777777" w:rsidR="002231F9" w:rsidRDefault="002231F9" w:rsidP="000D5B73">
      <w:pPr>
        <w:spacing w:after="0" w:line="240" w:lineRule="auto"/>
        <w:rPr>
          <w:rFonts w:ascii="Times New Roman" w:hAnsi="Times New Roman" w:cs="Times New Roman"/>
          <w:sz w:val="18"/>
          <w:szCs w:val="18"/>
        </w:rPr>
      </w:pPr>
    </w:p>
    <w:p w14:paraId="06019695" w14:textId="77777777" w:rsidR="002231F9" w:rsidRDefault="002231F9" w:rsidP="000D5B73">
      <w:pPr>
        <w:spacing w:after="0" w:line="240" w:lineRule="auto"/>
        <w:rPr>
          <w:rFonts w:ascii="Times New Roman" w:hAnsi="Times New Roman" w:cs="Times New Roman"/>
          <w:sz w:val="18"/>
          <w:szCs w:val="18"/>
        </w:rPr>
      </w:pPr>
    </w:p>
    <w:p w14:paraId="776BCD46" w14:textId="05FA7ECA" w:rsidR="000B46DA" w:rsidRDefault="000B46DA" w:rsidP="000D5B73">
      <w:pPr>
        <w:spacing w:after="0" w:line="240" w:lineRule="auto"/>
        <w:rPr>
          <w:rFonts w:ascii="Times New Roman" w:hAnsi="Times New Roman" w:cs="Times New Roman"/>
          <w:sz w:val="18"/>
          <w:szCs w:val="18"/>
        </w:rPr>
      </w:pPr>
      <w:r w:rsidRPr="000B46DA">
        <w:rPr>
          <w:rFonts w:ascii="Times New Roman" w:hAnsi="Times New Roman" w:cs="Times New Roman"/>
          <w:sz w:val="18"/>
          <w:szCs w:val="18"/>
        </w:rPr>
        <w:t>“Turtle Creek Trust Company, LTA, is a chartered trust company registered with the State of Texas. Turtle Creek Management, LLC, is an investment adviser registered with the United States Securities and Exchange Commission. Turtle Creek Management, LLC, is not a chartered bank, trust company, or depository institution. It is not authorized to accept deposits or trust accounts and is not licensed or regulated by any state or federal banking authority. Turtle Creek Trust Company, LTA, and Turtle Creek Management, LLC, are wholly owned subsidiaries of TCTC Holdings, LLC, which together operate under the assumed name Turtle Creek Trust.”</w:t>
      </w:r>
    </w:p>
    <w:p w14:paraId="33761F55" w14:textId="77777777" w:rsidR="0038142A" w:rsidRDefault="0038142A" w:rsidP="000D5B73">
      <w:pPr>
        <w:spacing w:after="0" w:line="240" w:lineRule="auto"/>
        <w:rPr>
          <w:rFonts w:ascii="Times New Roman" w:hAnsi="Times New Roman" w:cs="Times New Roman"/>
          <w:sz w:val="18"/>
          <w:szCs w:val="18"/>
        </w:rPr>
        <w:sectPr w:rsidR="0038142A" w:rsidSect="001460C1">
          <w:headerReference w:type="default" r:id="rId13"/>
          <w:footerReference w:type="default" r:id="rId14"/>
          <w:headerReference w:type="first" r:id="rId15"/>
          <w:footerReference w:type="first" r:id="rId16"/>
          <w:pgSz w:w="12240" w:h="15840" w:code="1"/>
          <w:pgMar w:top="1440" w:right="1440" w:bottom="1440" w:left="1440" w:header="720" w:footer="288" w:gutter="0"/>
          <w:cols w:space="720"/>
          <w:titlePg/>
          <w:docGrid w:linePitch="360"/>
        </w:sectPr>
      </w:pPr>
      <w:r>
        <w:rPr>
          <w:rFonts w:ascii="Times New Roman" w:hAnsi="Times New Roman" w:cs="Times New Roman"/>
          <w:sz w:val="18"/>
          <w:szCs w:val="18"/>
        </w:rPr>
        <w:br w:type="page"/>
      </w:r>
      <w:bookmarkEnd w:id="0"/>
    </w:p>
    <w:p w14:paraId="4A00315F" w14:textId="479F98D3" w:rsidR="0038142A" w:rsidRDefault="0038142A" w:rsidP="000D5B73">
      <w:pPr>
        <w:spacing w:after="0" w:line="240" w:lineRule="auto"/>
        <w:rPr>
          <w:rFonts w:ascii="Times New Roman" w:hAnsi="Times New Roman" w:cs="Times New Roman"/>
          <w:sz w:val="18"/>
          <w:szCs w:val="18"/>
        </w:rPr>
      </w:pPr>
    </w:p>
    <w:p w14:paraId="50B69FEE" w14:textId="77777777" w:rsidR="0038142A" w:rsidRDefault="0038142A" w:rsidP="000D5B73">
      <w:pPr>
        <w:spacing w:after="0" w:line="240" w:lineRule="auto"/>
        <w:rPr>
          <w:rFonts w:ascii="Times New Roman" w:hAnsi="Times New Roman" w:cs="Times New Roman"/>
          <w:sz w:val="18"/>
          <w:szCs w:val="18"/>
        </w:rPr>
      </w:pPr>
    </w:p>
    <w:p w14:paraId="63136D53" w14:textId="1B0FE02A" w:rsidR="002231F9" w:rsidRPr="000B46DA" w:rsidRDefault="00936D38" w:rsidP="00936D38">
      <w:pPr>
        <w:spacing w:after="0" w:line="240" w:lineRule="auto"/>
        <w:jc w:val="center"/>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5418A34B" wp14:editId="7D531FEC">
            <wp:extent cx="8579199" cy="4838700"/>
            <wp:effectExtent l="0" t="0" r="0" b="0"/>
            <wp:docPr id="10001409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99936" cy="4850396"/>
                    </a:xfrm>
                    <a:prstGeom prst="rect">
                      <a:avLst/>
                    </a:prstGeom>
                    <a:noFill/>
                  </pic:spPr>
                </pic:pic>
              </a:graphicData>
            </a:graphic>
          </wp:inline>
        </w:drawing>
      </w:r>
    </w:p>
    <w:sectPr w:rsidR="002231F9" w:rsidRPr="000B46DA" w:rsidSect="0038142A">
      <w:pgSz w:w="15840" w:h="12240" w:orient="landscape"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2886" w14:textId="77777777" w:rsidR="004C0AE3" w:rsidRDefault="004C0AE3" w:rsidP="004D5236">
      <w:pPr>
        <w:spacing w:after="0" w:line="240" w:lineRule="auto"/>
      </w:pPr>
      <w:r>
        <w:separator/>
      </w:r>
    </w:p>
  </w:endnote>
  <w:endnote w:type="continuationSeparator" w:id="0">
    <w:p w14:paraId="1BE73977" w14:textId="77777777" w:rsidR="004C0AE3" w:rsidRDefault="004C0AE3" w:rsidP="004D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31B4" w14:textId="36CA8BE6" w:rsidR="000B1307" w:rsidRPr="004D5236" w:rsidRDefault="000B1307" w:rsidP="007475F2">
    <w:pPr>
      <w:pStyle w:val="Footer"/>
      <w:jc w:val="center"/>
      <w:rPr>
        <w:rFonts w:ascii="Times New Roman" w:hAnsi="Times New Roman" w:cs="Times New Roman"/>
        <w:sz w:val="20"/>
        <w:szCs w:val="20"/>
      </w:rPr>
    </w:pPr>
    <w:r w:rsidRPr="006012A5">
      <w:rPr>
        <w:rFonts w:ascii="Arial" w:hAnsi="Arial" w:cs="Arial"/>
        <w:color w:val="83A0A9"/>
        <w:spacing w:val="-8"/>
        <w:sz w:val="16"/>
        <w:szCs w:val="16"/>
      </w:rPr>
      <w:t>Turtle Creek Management, LLC</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3838</w:t>
    </w:r>
    <w:r w:rsidRPr="006012A5">
      <w:rPr>
        <w:rFonts w:ascii="Arial" w:hAnsi="Arial" w:cs="Arial"/>
        <w:color w:val="83A0A9"/>
        <w:spacing w:val="-8"/>
        <w:sz w:val="16"/>
        <w:szCs w:val="16"/>
      </w:rPr>
      <w:t xml:space="preserve"> </w:t>
    </w:r>
    <w:r>
      <w:rPr>
        <w:rFonts w:ascii="Arial" w:hAnsi="Arial" w:cs="Arial"/>
        <w:color w:val="83A0A9"/>
        <w:spacing w:val="-8"/>
        <w:sz w:val="16"/>
        <w:szCs w:val="16"/>
      </w:rPr>
      <w:t xml:space="preserve">Oak Lawn Ave </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Suite </w:t>
    </w:r>
    <w:r>
      <w:rPr>
        <w:rFonts w:ascii="Arial" w:hAnsi="Arial" w:cs="Arial"/>
        <w:color w:val="83A0A9"/>
        <w:spacing w:val="-8"/>
        <w:sz w:val="16"/>
        <w:szCs w:val="16"/>
      </w:rPr>
      <w:t>16</w:t>
    </w:r>
    <w:r w:rsidRPr="006012A5">
      <w:rPr>
        <w:rFonts w:ascii="Arial" w:hAnsi="Arial" w:cs="Arial"/>
        <w:color w:val="83A0A9"/>
        <w:spacing w:val="-8"/>
        <w:sz w:val="16"/>
        <w:szCs w:val="16"/>
      </w:rPr>
      <w:t>5</w:t>
    </w:r>
    <w:r>
      <w:rPr>
        <w:rFonts w:ascii="Arial" w:hAnsi="Arial" w:cs="Arial"/>
        <w:color w:val="83A0A9"/>
        <w:spacing w:val="-8"/>
        <w:sz w:val="16"/>
        <w:szCs w:val="16"/>
      </w:rPr>
      <w:t>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Dallas, Texas 752</w:t>
    </w:r>
    <w:r w:rsidR="00483109">
      <w:rPr>
        <w:rFonts w:ascii="Arial" w:hAnsi="Arial" w:cs="Arial"/>
        <w:color w:val="83A0A9"/>
        <w:spacing w:val="-8"/>
        <w:sz w:val="16"/>
        <w:szCs w:val="16"/>
      </w:rPr>
      <w:t>19</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214-468-0106 fax</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turtlecreekdallas.com</w:t>
    </w:r>
  </w:p>
  <w:p w14:paraId="770AC1CB" w14:textId="77777777" w:rsidR="000B1307" w:rsidRDefault="000B1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36BB" w14:textId="77777777" w:rsidR="00537ECA" w:rsidRPr="004D5236" w:rsidRDefault="00537ECA" w:rsidP="00537ECA">
    <w:pPr>
      <w:pStyle w:val="Footer"/>
      <w:jc w:val="center"/>
      <w:rPr>
        <w:rFonts w:ascii="Times New Roman" w:hAnsi="Times New Roman" w:cs="Times New Roman"/>
        <w:sz w:val="20"/>
        <w:szCs w:val="20"/>
      </w:rPr>
    </w:pPr>
    <w:r w:rsidRPr="006012A5">
      <w:rPr>
        <w:rFonts w:ascii="Arial" w:hAnsi="Arial" w:cs="Arial"/>
        <w:color w:val="83A0A9"/>
        <w:spacing w:val="-8"/>
        <w:sz w:val="16"/>
        <w:szCs w:val="16"/>
      </w:rPr>
      <w:t>Turtle Creek Management, LLC</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3838</w:t>
    </w:r>
    <w:r w:rsidRPr="006012A5">
      <w:rPr>
        <w:rFonts w:ascii="Arial" w:hAnsi="Arial" w:cs="Arial"/>
        <w:color w:val="83A0A9"/>
        <w:spacing w:val="-8"/>
        <w:sz w:val="16"/>
        <w:szCs w:val="16"/>
      </w:rPr>
      <w:t xml:space="preserve"> </w:t>
    </w:r>
    <w:r>
      <w:rPr>
        <w:rFonts w:ascii="Arial" w:hAnsi="Arial" w:cs="Arial"/>
        <w:color w:val="83A0A9"/>
        <w:spacing w:val="-8"/>
        <w:sz w:val="16"/>
        <w:szCs w:val="16"/>
      </w:rPr>
      <w:t xml:space="preserve">Oak Lawn Ave </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Suite </w:t>
    </w:r>
    <w:r>
      <w:rPr>
        <w:rFonts w:ascii="Arial" w:hAnsi="Arial" w:cs="Arial"/>
        <w:color w:val="83A0A9"/>
        <w:spacing w:val="-8"/>
        <w:sz w:val="16"/>
        <w:szCs w:val="16"/>
      </w:rPr>
      <w:t>16</w:t>
    </w:r>
    <w:r w:rsidRPr="006012A5">
      <w:rPr>
        <w:rFonts w:ascii="Arial" w:hAnsi="Arial" w:cs="Arial"/>
        <w:color w:val="83A0A9"/>
        <w:spacing w:val="-8"/>
        <w:sz w:val="16"/>
        <w:szCs w:val="16"/>
      </w:rPr>
      <w:t>5</w:t>
    </w:r>
    <w:r>
      <w:rPr>
        <w:rFonts w:ascii="Arial" w:hAnsi="Arial" w:cs="Arial"/>
        <w:color w:val="83A0A9"/>
        <w:spacing w:val="-8"/>
        <w:sz w:val="16"/>
        <w:szCs w:val="16"/>
      </w:rPr>
      <w:t>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Dallas, Texas 752</w:t>
    </w:r>
    <w:r>
      <w:rPr>
        <w:rFonts w:ascii="Arial" w:hAnsi="Arial" w:cs="Arial"/>
        <w:color w:val="83A0A9"/>
        <w:spacing w:val="-8"/>
        <w:sz w:val="16"/>
        <w:szCs w:val="16"/>
      </w:rPr>
      <w:t>19</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214-468-0106 fax</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turtlecreekdallas.com</w:t>
    </w:r>
  </w:p>
  <w:p w14:paraId="59073F6D" w14:textId="77777777" w:rsidR="00537ECA" w:rsidRDefault="00537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8E146" w14:textId="77777777" w:rsidR="004C0AE3" w:rsidRDefault="004C0AE3" w:rsidP="004D5236">
      <w:pPr>
        <w:spacing w:after="0" w:line="240" w:lineRule="auto"/>
      </w:pPr>
      <w:r>
        <w:separator/>
      </w:r>
    </w:p>
  </w:footnote>
  <w:footnote w:type="continuationSeparator" w:id="0">
    <w:p w14:paraId="26489737" w14:textId="77777777" w:rsidR="004C0AE3" w:rsidRDefault="004C0AE3" w:rsidP="004D5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8DB4" w14:textId="7D36AB9B" w:rsidR="000B1307" w:rsidRPr="007475F2" w:rsidRDefault="00636369" w:rsidP="004D5236">
    <w:pPr>
      <w:pStyle w:val="Header"/>
      <w:tabs>
        <w:tab w:val="clear" w:pos="9360"/>
      </w:tabs>
      <w:rPr>
        <w:b/>
        <w:sz w:val="14"/>
        <w:szCs w:val="14"/>
      </w:rPr>
    </w:pPr>
    <w:r>
      <w:rPr>
        <w:b/>
        <w:sz w:val="14"/>
        <w:szCs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840D" w14:textId="612B5D96" w:rsidR="00E80F35" w:rsidRDefault="00E80F35" w:rsidP="00E80F35">
    <w:pPr>
      <w:pStyle w:val="Header"/>
      <w:jc w:val="center"/>
    </w:pPr>
    <w:r w:rsidRPr="00636369">
      <w:rPr>
        <w:rFonts w:ascii="Times New Roman" w:hAnsi="Times New Roman" w:cs="Times New Roman"/>
        <w:noProof/>
        <w:sz w:val="20"/>
        <w:szCs w:val="20"/>
      </w:rPr>
      <w:drawing>
        <wp:inline distT="0" distB="0" distL="0" distR="0" wp14:anchorId="57B22F50" wp14:editId="664E2222">
          <wp:extent cx="1486277" cy="835234"/>
          <wp:effectExtent l="0" t="0" r="0" b="3175"/>
          <wp:docPr id="850206099" name="Picture 2"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63271" name="Picture 2" descr="A logo with green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286" cy="8897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694"/>
    <w:multiLevelType w:val="hybridMultilevel"/>
    <w:tmpl w:val="BB0EBB5E"/>
    <w:lvl w:ilvl="0" w:tplc="9C0E68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A77FC"/>
    <w:multiLevelType w:val="hybridMultilevel"/>
    <w:tmpl w:val="8910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C38FD"/>
    <w:multiLevelType w:val="hybridMultilevel"/>
    <w:tmpl w:val="0AFE3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4CDE"/>
    <w:multiLevelType w:val="hybridMultilevel"/>
    <w:tmpl w:val="61F2D9FA"/>
    <w:lvl w:ilvl="0" w:tplc="6E0E8060">
      <w:numFmt w:val="bullet"/>
      <w:lvlText w:val="-"/>
      <w:lvlJc w:val="left"/>
      <w:pPr>
        <w:ind w:left="720" w:hanging="360"/>
      </w:pPr>
      <w:rPr>
        <w:rFonts w:ascii="Times New Roman" w:eastAsiaTheme="minorHAnsi" w:hAnsi="Times New Roman" w:cs="Times New Roman" w:hint="default"/>
        <w:color w:val="auto"/>
        <w:sz w:val="2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646EF"/>
    <w:multiLevelType w:val="hybridMultilevel"/>
    <w:tmpl w:val="E6D4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50EAA"/>
    <w:multiLevelType w:val="hybridMultilevel"/>
    <w:tmpl w:val="58808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DB7D7E"/>
    <w:multiLevelType w:val="hybridMultilevel"/>
    <w:tmpl w:val="4E52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90030"/>
    <w:multiLevelType w:val="hybridMultilevel"/>
    <w:tmpl w:val="B28E73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7247229"/>
    <w:multiLevelType w:val="hybridMultilevel"/>
    <w:tmpl w:val="242C2D8C"/>
    <w:lvl w:ilvl="0" w:tplc="5B5C38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91828">
    <w:abstractNumId w:val="6"/>
  </w:num>
  <w:num w:numId="2" w16cid:durableId="1041126138">
    <w:abstractNumId w:val="3"/>
  </w:num>
  <w:num w:numId="3" w16cid:durableId="646905859">
    <w:abstractNumId w:val="8"/>
  </w:num>
  <w:num w:numId="4" w16cid:durableId="622539447">
    <w:abstractNumId w:val="1"/>
  </w:num>
  <w:num w:numId="5" w16cid:durableId="1244027157">
    <w:abstractNumId w:val="2"/>
  </w:num>
  <w:num w:numId="6" w16cid:durableId="334456803">
    <w:abstractNumId w:val="5"/>
  </w:num>
  <w:num w:numId="7" w16cid:durableId="1145316267">
    <w:abstractNumId w:val="4"/>
  </w:num>
  <w:num w:numId="8" w16cid:durableId="1973558321">
    <w:abstractNumId w:val="7"/>
  </w:num>
  <w:num w:numId="9" w16cid:durableId="124696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2D4"/>
    <w:rsid w:val="000007AB"/>
    <w:rsid w:val="000008BD"/>
    <w:rsid w:val="00000B53"/>
    <w:rsid w:val="00000DBC"/>
    <w:rsid w:val="00001A07"/>
    <w:rsid w:val="00001B37"/>
    <w:rsid w:val="00002593"/>
    <w:rsid w:val="0000288F"/>
    <w:rsid w:val="00003230"/>
    <w:rsid w:val="00007060"/>
    <w:rsid w:val="00012FD4"/>
    <w:rsid w:val="00014684"/>
    <w:rsid w:val="00014848"/>
    <w:rsid w:val="00015CA4"/>
    <w:rsid w:val="0001626F"/>
    <w:rsid w:val="000179B2"/>
    <w:rsid w:val="00017C85"/>
    <w:rsid w:val="00020D4C"/>
    <w:rsid w:val="0002174C"/>
    <w:rsid w:val="00023B4D"/>
    <w:rsid w:val="0002402F"/>
    <w:rsid w:val="0002466F"/>
    <w:rsid w:val="00026C32"/>
    <w:rsid w:val="00026D2B"/>
    <w:rsid w:val="00030442"/>
    <w:rsid w:val="00032EAE"/>
    <w:rsid w:val="0003388C"/>
    <w:rsid w:val="00034346"/>
    <w:rsid w:val="0003490B"/>
    <w:rsid w:val="000349F3"/>
    <w:rsid w:val="00040C1C"/>
    <w:rsid w:val="000419B6"/>
    <w:rsid w:val="000423F6"/>
    <w:rsid w:val="000443C4"/>
    <w:rsid w:val="00044F61"/>
    <w:rsid w:val="000457F2"/>
    <w:rsid w:val="00046170"/>
    <w:rsid w:val="0004710A"/>
    <w:rsid w:val="0005008C"/>
    <w:rsid w:val="00053E5B"/>
    <w:rsid w:val="00056DEC"/>
    <w:rsid w:val="00061CC4"/>
    <w:rsid w:val="00062312"/>
    <w:rsid w:val="000624F6"/>
    <w:rsid w:val="00063766"/>
    <w:rsid w:val="00063C5D"/>
    <w:rsid w:val="00064817"/>
    <w:rsid w:val="00065A52"/>
    <w:rsid w:val="00066F56"/>
    <w:rsid w:val="00067ADB"/>
    <w:rsid w:val="00067EBC"/>
    <w:rsid w:val="00073AF8"/>
    <w:rsid w:val="00073C38"/>
    <w:rsid w:val="00075A19"/>
    <w:rsid w:val="00080BB2"/>
    <w:rsid w:val="00081C80"/>
    <w:rsid w:val="0008457F"/>
    <w:rsid w:val="000850F3"/>
    <w:rsid w:val="00086C5E"/>
    <w:rsid w:val="000910DD"/>
    <w:rsid w:val="0009229E"/>
    <w:rsid w:val="00094F06"/>
    <w:rsid w:val="000958B2"/>
    <w:rsid w:val="0009684A"/>
    <w:rsid w:val="000975A4"/>
    <w:rsid w:val="000A1BA7"/>
    <w:rsid w:val="000A3BEA"/>
    <w:rsid w:val="000A4423"/>
    <w:rsid w:val="000A4C23"/>
    <w:rsid w:val="000A62F6"/>
    <w:rsid w:val="000B1307"/>
    <w:rsid w:val="000B2BBA"/>
    <w:rsid w:val="000B3B67"/>
    <w:rsid w:val="000B46DA"/>
    <w:rsid w:val="000B5BAF"/>
    <w:rsid w:val="000B5E0B"/>
    <w:rsid w:val="000B6924"/>
    <w:rsid w:val="000B7AEF"/>
    <w:rsid w:val="000C0DC7"/>
    <w:rsid w:val="000C17CB"/>
    <w:rsid w:val="000C1CAC"/>
    <w:rsid w:val="000C3AFA"/>
    <w:rsid w:val="000C44A9"/>
    <w:rsid w:val="000C4A05"/>
    <w:rsid w:val="000C5046"/>
    <w:rsid w:val="000C51A6"/>
    <w:rsid w:val="000C7222"/>
    <w:rsid w:val="000C7F30"/>
    <w:rsid w:val="000D0FE8"/>
    <w:rsid w:val="000D1122"/>
    <w:rsid w:val="000D1365"/>
    <w:rsid w:val="000D13E1"/>
    <w:rsid w:val="000D1FE8"/>
    <w:rsid w:val="000D2314"/>
    <w:rsid w:val="000D4CE0"/>
    <w:rsid w:val="000D5B73"/>
    <w:rsid w:val="000D6E0B"/>
    <w:rsid w:val="000D7440"/>
    <w:rsid w:val="000E035F"/>
    <w:rsid w:val="000E2415"/>
    <w:rsid w:val="000E2AF0"/>
    <w:rsid w:val="000E37C6"/>
    <w:rsid w:val="000E5FBB"/>
    <w:rsid w:val="000F21F1"/>
    <w:rsid w:val="000F443D"/>
    <w:rsid w:val="000F468B"/>
    <w:rsid w:val="000F5D0C"/>
    <w:rsid w:val="000F644F"/>
    <w:rsid w:val="0010086D"/>
    <w:rsid w:val="001010A3"/>
    <w:rsid w:val="001017A9"/>
    <w:rsid w:val="00101E21"/>
    <w:rsid w:val="001022FD"/>
    <w:rsid w:val="00102BA9"/>
    <w:rsid w:val="00103039"/>
    <w:rsid w:val="001033EF"/>
    <w:rsid w:val="00103649"/>
    <w:rsid w:val="00103C9F"/>
    <w:rsid w:val="001043AC"/>
    <w:rsid w:val="0010562F"/>
    <w:rsid w:val="001058B2"/>
    <w:rsid w:val="001064C2"/>
    <w:rsid w:val="00106A73"/>
    <w:rsid w:val="00111A03"/>
    <w:rsid w:val="00111F4D"/>
    <w:rsid w:val="00111F7B"/>
    <w:rsid w:val="001135A9"/>
    <w:rsid w:val="001142EB"/>
    <w:rsid w:val="00121B8D"/>
    <w:rsid w:val="001223D3"/>
    <w:rsid w:val="00122EA1"/>
    <w:rsid w:val="00126257"/>
    <w:rsid w:val="00126C89"/>
    <w:rsid w:val="00130C50"/>
    <w:rsid w:val="001314E2"/>
    <w:rsid w:val="00132B39"/>
    <w:rsid w:val="0013327C"/>
    <w:rsid w:val="001338B5"/>
    <w:rsid w:val="001354C9"/>
    <w:rsid w:val="00135E4C"/>
    <w:rsid w:val="0013679B"/>
    <w:rsid w:val="00137F97"/>
    <w:rsid w:val="00141B01"/>
    <w:rsid w:val="001423C0"/>
    <w:rsid w:val="00142C86"/>
    <w:rsid w:val="00142F78"/>
    <w:rsid w:val="00144208"/>
    <w:rsid w:val="00144AC6"/>
    <w:rsid w:val="001452B7"/>
    <w:rsid w:val="00145493"/>
    <w:rsid w:val="001460C1"/>
    <w:rsid w:val="001463F0"/>
    <w:rsid w:val="0014714E"/>
    <w:rsid w:val="00147CEF"/>
    <w:rsid w:val="00150C8B"/>
    <w:rsid w:val="001529E4"/>
    <w:rsid w:val="0015306F"/>
    <w:rsid w:val="00153940"/>
    <w:rsid w:val="00154213"/>
    <w:rsid w:val="0015596D"/>
    <w:rsid w:val="00156F71"/>
    <w:rsid w:val="00160FB4"/>
    <w:rsid w:val="00161109"/>
    <w:rsid w:val="00161328"/>
    <w:rsid w:val="001617A7"/>
    <w:rsid w:val="001621CD"/>
    <w:rsid w:val="00162EFB"/>
    <w:rsid w:val="00162F96"/>
    <w:rsid w:val="00163976"/>
    <w:rsid w:val="00163AB3"/>
    <w:rsid w:val="00166A74"/>
    <w:rsid w:val="00167C31"/>
    <w:rsid w:val="00171378"/>
    <w:rsid w:val="00171B17"/>
    <w:rsid w:val="00171BAB"/>
    <w:rsid w:val="00173347"/>
    <w:rsid w:val="0017509F"/>
    <w:rsid w:val="0018070C"/>
    <w:rsid w:val="001810EB"/>
    <w:rsid w:val="00181AC3"/>
    <w:rsid w:val="00183349"/>
    <w:rsid w:val="00183574"/>
    <w:rsid w:val="00183C01"/>
    <w:rsid w:val="00184962"/>
    <w:rsid w:val="0018698E"/>
    <w:rsid w:val="00191144"/>
    <w:rsid w:val="00191E1C"/>
    <w:rsid w:val="001922D4"/>
    <w:rsid w:val="001924E6"/>
    <w:rsid w:val="00192DB2"/>
    <w:rsid w:val="001933F3"/>
    <w:rsid w:val="00193FDE"/>
    <w:rsid w:val="0019404F"/>
    <w:rsid w:val="00194362"/>
    <w:rsid w:val="00194DD7"/>
    <w:rsid w:val="00195F31"/>
    <w:rsid w:val="00196965"/>
    <w:rsid w:val="00196B50"/>
    <w:rsid w:val="00196F5B"/>
    <w:rsid w:val="001A079A"/>
    <w:rsid w:val="001A2DDD"/>
    <w:rsid w:val="001A3723"/>
    <w:rsid w:val="001A3876"/>
    <w:rsid w:val="001A3F2C"/>
    <w:rsid w:val="001A557F"/>
    <w:rsid w:val="001A5FBB"/>
    <w:rsid w:val="001A6EEA"/>
    <w:rsid w:val="001B05D9"/>
    <w:rsid w:val="001B09D2"/>
    <w:rsid w:val="001B1803"/>
    <w:rsid w:val="001B1DDB"/>
    <w:rsid w:val="001B3F43"/>
    <w:rsid w:val="001C020E"/>
    <w:rsid w:val="001C0587"/>
    <w:rsid w:val="001C080C"/>
    <w:rsid w:val="001C1A31"/>
    <w:rsid w:val="001C2DD0"/>
    <w:rsid w:val="001C3F5C"/>
    <w:rsid w:val="001C4B26"/>
    <w:rsid w:val="001C56B4"/>
    <w:rsid w:val="001C5E11"/>
    <w:rsid w:val="001C6E3D"/>
    <w:rsid w:val="001C7F4D"/>
    <w:rsid w:val="001D0422"/>
    <w:rsid w:val="001D05FF"/>
    <w:rsid w:val="001D0C46"/>
    <w:rsid w:val="001D0D2D"/>
    <w:rsid w:val="001D2009"/>
    <w:rsid w:val="001D20F5"/>
    <w:rsid w:val="001D3244"/>
    <w:rsid w:val="001D51E4"/>
    <w:rsid w:val="001D5BD6"/>
    <w:rsid w:val="001D66BF"/>
    <w:rsid w:val="001E011D"/>
    <w:rsid w:val="001E04F4"/>
    <w:rsid w:val="001E1D74"/>
    <w:rsid w:val="001E2768"/>
    <w:rsid w:val="001E36C9"/>
    <w:rsid w:val="001E599A"/>
    <w:rsid w:val="001E5DBF"/>
    <w:rsid w:val="001E6170"/>
    <w:rsid w:val="001E6892"/>
    <w:rsid w:val="001E7CAD"/>
    <w:rsid w:val="001F3AA4"/>
    <w:rsid w:val="001F6E3F"/>
    <w:rsid w:val="00201D82"/>
    <w:rsid w:val="002033AB"/>
    <w:rsid w:val="00204FA1"/>
    <w:rsid w:val="002053A4"/>
    <w:rsid w:val="0020654E"/>
    <w:rsid w:val="00207349"/>
    <w:rsid w:val="002077E7"/>
    <w:rsid w:val="00207E2A"/>
    <w:rsid w:val="00210373"/>
    <w:rsid w:val="00210514"/>
    <w:rsid w:val="00210898"/>
    <w:rsid w:val="00212390"/>
    <w:rsid w:val="00212D47"/>
    <w:rsid w:val="002163BF"/>
    <w:rsid w:val="00217244"/>
    <w:rsid w:val="002211B4"/>
    <w:rsid w:val="002231F9"/>
    <w:rsid w:val="00223564"/>
    <w:rsid w:val="002259D5"/>
    <w:rsid w:val="00230796"/>
    <w:rsid w:val="002311B4"/>
    <w:rsid w:val="00232450"/>
    <w:rsid w:val="002329F1"/>
    <w:rsid w:val="00233165"/>
    <w:rsid w:val="002347DB"/>
    <w:rsid w:val="00234C25"/>
    <w:rsid w:val="00235B07"/>
    <w:rsid w:val="002371EA"/>
    <w:rsid w:val="002406BA"/>
    <w:rsid w:val="00240706"/>
    <w:rsid w:val="0024225C"/>
    <w:rsid w:val="00242CCE"/>
    <w:rsid w:val="002433C2"/>
    <w:rsid w:val="002445B6"/>
    <w:rsid w:val="002446CD"/>
    <w:rsid w:val="00245694"/>
    <w:rsid w:val="00245A77"/>
    <w:rsid w:val="00245A93"/>
    <w:rsid w:val="00246A24"/>
    <w:rsid w:val="0024744B"/>
    <w:rsid w:val="002501FA"/>
    <w:rsid w:val="00251238"/>
    <w:rsid w:val="00252551"/>
    <w:rsid w:val="002544FF"/>
    <w:rsid w:val="00256855"/>
    <w:rsid w:val="002615F9"/>
    <w:rsid w:val="00262497"/>
    <w:rsid w:val="002625D8"/>
    <w:rsid w:val="00262E7F"/>
    <w:rsid w:val="00263628"/>
    <w:rsid w:val="00263CF9"/>
    <w:rsid w:val="00263D01"/>
    <w:rsid w:val="002673BE"/>
    <w:rsid w:val="0026766A"/>
    <w:rsid w:val="00270EA2"/>
    <w:rsid w:val="002710D7"/>
    <w:rsid w:val="0027266F"/>
    <w:rsid w:val="00272A97"/>
    <w:rsid w:val="002773CF"/>
    <w:rsid w:val="00277A45"/>
    <w:rsid w:val="00277C02"/>
    <w:rsid w:val="00280237"/>
    <w:rsid w:val="00282647"/>
    <w:rsid w:val="00284022"/>
    <w:rsid w:val="00284BC7"/>
    <w:rsid w:val="00284FE6"/>
    <w:rsid w:val="00285A8C"/>
    <w:rsid w:val="00285B19"/>
    <w:rsid w:val="00285CF6"/>
    <w:rsid w:val="00286CA2"/>
    <w:rsid w:val="0029268E"/>
    <w:rsid w:val="00294179"/>
    <w:rsid w:val="00295228"/>
    <w:rsid w:val="002953AF"/>
    <w:rsid w:val="002956C1"/>
    <w:rsid w:val="002956CE"/>
    <w:rsid w:val="00295AEF"/>
    <w:rsid w:val="00295BAC"/>
    <w:rsid w:val="0029683F"/>
    <w:rsid w:val="00296EEA"/>
    <w:rsid w:val="00297EF3"/>
    <w:rsid w:val="002A0323"/>
    <w:rsid w:val="002A111E"/>
    <w:rsid w:val="002A2B68"/>
    <w:rsid w:val="002A3E20"/>
    <w:rsid w:val="002A446E"/>
    <w:rsid w:val="002A5E97"/>
    <w:rsid w:val="002A7170"/>
    <w:rsid w:val="002A7962"/>
    <w:rsid w:val="002B0072"/>
    <w:rsid w:val="002B043D"/>
    <w:rsid w:val="002B06C6"/>
    <w:rsid w:val="002B074F"/>
    <w:rsid w:val="002B075C"/>
    <w:rsid w:val="002B17C9"/>
    <w:rsid w:val="002B2666"/>
    <w:rsid w:val="002B2A91"/>
    <w:rsid w:val="002B3E1D"/>
    <w:rsid w:val="002B4F65"/>
    <w:rsid w:val="002B516F"/>
    <w:rsid w:val="002B5E7C"/>
    <w:rsid w:val="002C0385"/>
    <w:rsid w:val="002C099A"/>
    <w:rsid w:val="002C0C0E"/>
    <w:rsid w:val="002C0D53"/>
    <w:rsid w:val="002C0EF5"/>
    <w:rsid w:val="002C239D"/>
    <w:rsid w:val="002C27C7"/>
    <w:rsid w:val="002C3DA9"/>
    <w:rsid w:val="002C4019"/>
    <w:rsid w:val="002C46AF"/>
    <w:rsid w:val="002C6F96"/>
    <w:rsid w:val="002C76DD"/>
    <w:rsid w:val="002D0303"/>
    <w:rsid w:val="002D0903"/>
    <w:rsid w:val="002D1210"/>
    <w:rsid w:val="002D1812"/>
    <w:rsid w:val="002D2BDC"/>
    <w:rsid w:val="002D35A3"/>
    <w:rsid w:val="002D3BE6"/>
    <w:rsid w:val="002D4560"/>
    <w:rsid w:val="002D4618"/>
    <w:rsid w:val="002D49E0"/>
    <w:rsid w:val="002D549F"/>
    <w:rsid w:val="002D6C51"/>
    <w:rsid w:val="002E00A0"/>
    <w:rsid w:val="002E0CE2"/>
    <w:rsid w:val="002E1089"/>
    <w:rsid w:val="002E29E8"/>
    <w:rsid w:val="002E36B8"/>
    <w:rsid w:val="002E3A2F"/>
    <w:rsid w:val="002E4171"/>
    <w:rsid w:val="002E450B"/>
    <w:rsid w:val="002E4641"/>
    <w:rsid w:val="002E48D6"/>
    <w:rsid w:val="002E5580"/>
    <w:rsid w:val="002E5CE2"/>
    <w:rsid w:val="002E6991"/>
    <w:rsid w:val="002E6B01"/>
    <w:rsid w:val="002E6DCB"/>
    <w:rsid w:val="002F017F"/>
    <w:rsid w:val="002F0E50"/>
    <w:rsid w:val="002F1400"/>
    <w:rsid w:val="002F1FD7"/>
    <w:rsid w:val="002F2163"/>
    <w:rsid w:val="002F3CA4"/>
    <w:rsid w:val="002F533A"/>
    <w:rsid w:val="002F63F7"/>
    <w:rsid w:val="002F74CE"/>
    <w:rsid w:val="002F7E85"/>
    <w:rsid w:val="003000E4"/>
    <w:rsid w:val="00300750"/>
    <w:rsid w:val="00300C7E"/>
    <w:rsid w:val="00303E70"/>
    <w:rsid w:val="0030460B"/>
    <w:rsid w:val="00307F94"/>
    <w:rsid w:val="003104F0"/>
    <w:rsid w:val="0031131A"/>
    <w:rsid w:val="00311555"/>
    <w:rsid w:val="00313282"/>
    <w:rsid w:val="00314276"/>
    <w:rsid w:val="003144FB"/>
    <w:rsid w:val="00314A62"/>
    <w:rsid w:val="00314F27"/>
    <w:rsid w:val="003157BD"/>
    <w:rsid w:val="00322B66"/>
    <w:rsid w:val="00323A3B"/>
    <w:rsid w:val="0032462C"/>
    <w:rsid w:val="00326C49"/>
    <w:rsid w:val="00326F69"/>
    <w:rsid w:val="003279A2"/>
    <w:rsid w:val="0033248F"/>
    <w:rsid w:val="00332695"/>
    <w:rsid w:val="00333553"/>
    <w:rsid w:val="003339EF"/>
    <w:rsid w:val="0033426F"/>
    <w:rsid w:val="0033538A"/>
    <w:rsid w:val="003362B3"/>
    <w:rsid w:val="00336666"/>
    <w:rsid w:val="00340B7F"/>
    <w:rsid w:val="00341001"/>
    <w:rsid w:val="0034646A"/>
    <w:rsid w:val="00346BF0"/>
    <w:rsid w:val="00346E29"/>
    <w:rsid w:val="003479CA"/>
    <w:rsid w:val="00352090"/>
    <w:rsid w:val="00352DA0"/>
    <w:rsid w:val="00352EFF"/>
    <w:rsid w:val="00354355"/>
    <w:rsid w:val="0035621B"/>
    <w:rsid w:val="003568D5"/>
    <w:rsid w:val="00357295"/>
    <w:rsid w:val="003601AD"/>
    <w:rsid w:val="0036037B"/>
    <w:rsid w:val="00361DDE"/>
    <w:rsid w:val="0036229B"/>
    <w:rsid w:val="0036338F"/>
    <w:rsid w:val="00364740"/>
    <w:rsid w:val="003648EC"/>
    <w:rsid w:val="00364962"/>
    <w:rsid w:val="00364AEF"/>
    <w:rsid w:val="003676F2"/>
    <w:rsid w:val="00370E15"/>
    <w:rsid w:val="00371690"/>
    <w:rsid w:val="00371929"/>
    <w:rsid w:val="00371C56"/>
    <w:rsid w:val="0037431B"/>
    <w:rsid w:val="0037464D"/>
    <w:rsid w:val="003746CB"/>
    <w:rsid w:val="00375C6A"/>
    <w:rsid w:val="00380093"/>
    <w:rsid w:val="00380261"/>
    <w:rsid w:val="0038142A"/>
    <w:rsid w:val="0038147F"/>
    <w:rsid w:val="00382312"/>
    <w:rsid w:val="00382DD4"/>
    <w:rsid w:val="00383827"/>
    <w:rsid w:val="00383EE1"/>
    <w:rsid w:val="00384100"/>
    <w:rsid w:val="00384B66"/>
    <w:rsid w:val="00385559"/>
    <w:rsid w:val="00385CA0"/>
    <w:rsid w:val="00385EAA"/>
    <w:rsid w:val="00386637"/>
    <w:rsid w:val="003878D6"/>
    <w:rsid w:val="00390A3B"/>
    <w:rsid w:val="003925E5"/>
    <w:rsid w:val="0039377A"/>
    <w:rsid w:val="00394E08"/>
    <w:rsid w:val="003956C1"/>
    <w:rsid w:val="003A248D"/>
    <w:rsid w:val="003A3249"/>
    <w:rsid w:val="003A3892"/>
    <w:rsid w:val="003A4632"/>
    <w:rsid w:val="003A59DE"/>
    <w:rsid w:val="003A64A5"/>
    <w:rsid w:val="003A6CA6"/>
    <w:rsid w:val="003A78BA"/>
    <w:rsid w:val="003A792C"/>
    <w:rsid w:val="003A7F96"/>
    <w:rsid w:val="003B1D05"/>
    <w:rsid w:val="003B6E7E"/>
    <w:rsid w:val="003B7D8E"/>
    <w:rsid w:val="003C08DE"/>
    <w:rsid w:val="003C3D14"/>
    <w:rsid w:val="003C3FBE"/>
    <w:rsid w:val="003C41B3"/>
    <w:rsid w:val="003C6863"/>
    <w:rsid w:val="003D055C"/>
    <w:rsid w:val="003D22C0"/>
    <w:rsid w:val="003D3877"/>
    <w:rsid w:val="003D39E2"/>
    <w:rsid w:val="003D3E65"/>
    <w:rsid w:val="003D4A54"/>
    <w:rsid w:val="003D5277"/>
    <w:rsid w:val="003D6404"/>
    <w:rsid w:val="003D6A03"/>
    <w:rsid w:val="003D736A"/>
    <w:rsid w:val="003E0FAD"/>
    <w:rsid w:val="003E134F"/>
    <w:rsid w:val="003E18ED"/>
    <w:rsid w:val="003E1C22"/>
    <w:rsid w:val="003E1ED7"/>
    <w:rsid w:val="003E2063"/>
    <w:rsid w:val="003E2CE8"/>
    <w:rsid w:val="003E319A"/>
    <w:rsid w:val="003E6233"/>
    <w:rsid w:val="003E65E7"/>
    <w:rsid w:val="003E7C52"/>
    <w:rsid w:val="003F07DD"/>
    <w:rsid w:val="003F0E56"/>
    <w:rsid w:val="003F1A63"/>
    <w:rsid w:val="003F2C03"/>
    <w:rsid w:val="003F70D1"/>
    <w:rsid w:val="003F76B4"/>
    <w:rsid w:val="0040031B"/>
    <w:rsid w:val="00400D25"/>
    <w:rsid w:val="0040169A"/>
    <w:rsid w:val="00401AC2"/>
    <w:rsid w:val="004024B0"/>
    <w:rsid w:val="00402D9A"/>
    <w:rsid w:val="004032CC"/>
    <w:rsid w:val="0040442C"/>
    <w:rsid w:val="00404B17"/>
    <w:rsid w:val="004071A4"/>
    <w:rsid w:val="00410D7B"/>
    <w:rsid w:val="0041298D"/>
    <w:rsid w:val="00413A77"/>
    <w:rsid w:val="0041400E"/>
    <w:rsid w:val="0041549C"/>
    <w:rsid w:val="00416229"/>
    <w:rsid w:val="004162AC"/>
    <w:rsid w:val="004163E3"/>
    <w:rsid w:val="004216AC"/>
    <w:rsid w:val="00423F68"/>
    <w:rsid w:val="00425891"/>
    <w:rsid w:val="0042631C"/>
    <w:rsid w:val="004313B5"/>
    <w:rsid w:val="004324A6"/>
    <w:rsid w:val="00432D6C"/>
    <w:rsid w:val="00433CD7"/>
    <w:rsid w:val="00434DEF"/>
    <w:rsid w:val="004353B2"/>
    <w:rsid w:val="004367D9"/>
    <w:rsid w:val="00436DFC"/>
    <w:rsid w:val="00436E7E"/>
    <w:rsid w:val="0043786D"/>
    <w:rsid w:val="00440485"/>
    <w:rsid w:val="0044135E"/>
    <w:rsid w:val="00442C58"/>
    <w:rsid w:val="0044318F"/>
    <w:rsid w:val="00444CA9"/>
    <w:rsid w:val="00445A4C"/>
    <w:rsid w:val="0044699C"/>
    <w:rsid w:val="00447AA5"/>
    <w:rsid w:val="00447F83"/>
    <w:rsid w:val="00452944"/>
    <w:rsid w:val="00452B79"/>
    <w:rsid w:val="00454366"/>
    <w:rsid w:val="00454BC4"/>
    <w:rsid w:val="00454F49"/>
    <w:rsid w:val="004553D1"/>
    <w:rsid w:val="00455707"/>
    <w:rsid w:val="00457C62"/>
    <w:rsid w:val="004601FE"/>
    <w:rsid w:val="004606B6"/>
    <w:rsid w:val="00460B71"/>
    <w:rsid w:val="004645AD"/>
    <w:rsid w:val="004664AA"/>
    <w:rsid w:val="00466C2C"/>
    <w:rsid w:val="004678AB"/>
    <w:rsid w:val="00467B7F"/>
    <w:rsid w:val="00470A39"/>
    <w:rsid w:val="00470F58"/>
    <w:rsid w:val="0047153C"/>
    <w:rsid w:val="00471C39"/>
    <w:rsid w:val="004722FA"/>
    <w:rsid w:val="00473658"/>
    <w:rsid w:val="0047416A"/>
    <w:rsid w:val="00476181"/>
    <w:rsid w:val="00476E0C"/>
    <w:rsid w:val="004825DC"/>
    <w:rsid w:val="00482CDF"/>
    <w:rsid w:val="00483109"/>
    <w:rsid w:val="0048536F"/>
    <w:rsid w:val="00486CE7"/>
    <w:rsid w:val="0049019B"/>
    <w:rsid w:val="00490C57"/>
    <w:rsid w:val="00491046"/>
    <w:rsid w:val="0049261E"/>
    <w:rsid w:val="00494BE8"/>
    <w:rsid w:val="00495AF7"/>
    <w:rsid w:val="004966C4"/>
    <w:rsid w:val="004969A5"/>
    <w:rsid w:val="00496F56"/>
    <w:rsid w:val="004A1500"/>
    <w:rsid w:val="004A3D6D"/>
    <w:rsid w:val="004A45B0"/>
    <w:rsid w:val="004A45B3"/>
    <w:rsid w:val="004A462B"/>
    <w:rsid w:val="004B021E"/>
    <w:rsid w:val="004B03D8"/>
    <w:rsid w:val="004B08AB"/>
    <w:rsid w:val="004B342E"/>
    <w:rsid w:val="004B3F6B"/>
    <w:rsid w:val="004B51A3"/>
    <w:rsid w:val="004B5726"/>
    <w:rsid w:val="004B694A"/>
    <w:rsid w:val="004B727C"/>
    <w:rsid w:val="004C0AE3"/>
    <w:rsid w:val="004C0E9E"/>
    <w:rsid w:val="004C17EC"/>
    <w:rsid w:val="004C3E51"/>
    <w:rsid w:val="004C5660"/>
    <w:rsid w:val="004C68AE"/>
    <w:rsid w:val="004D046B"/>
    <w:rsid w:val="004D072D"/>
    <w:rsid w:val="004D1AF8"/>
    <w:rsid w:val="004D1E86"/>
    <w:rsid w:val="004D26FA"/>
    <w:rsid w:val="004D286D"/>
    <w:rsid w:val="004D28EF"/>
    <w:rsid w:val="004D2E87"/>
    <w:rsid w:val="004D50E6"/>
    <w:rsid w:val="004D5236"/>
    <w:rsid w:val="004D541C"/>
    <w:rsid w:val="004D616F"/>
    <w:rsid w:val="004D63E8"/>
    <w:rsid w:val="004D6950"/>
    <w:rsid w:val="004D6F7B"/>
    <w:rsid w:val="004E104E"/>
    <w:rsid w:val="004E343E"/>
    <w:rsid w:val="004E3DC9"/>
    <w:rsid w:val="004E4C0A"/>
    <w:rsid w:val="004F09B4"/>
    <w:rsid w:val="004F0CA8"/>
    <w:rsid w:val="004F1398"/>
    <w:rsid w:val="004F15E9"/>
    <w:rsid w:val="004F2AB5"/>
    <w:rsid w:val="004F36C9"/>
    <w:rsid w:val="004F3780"/>
    <w:rsid w:val="004F3D7A"/>
    <w:rsid w:val="004F643E"/>
    <w:rsid w:val="004F7221"/>
    <w:rsid w:val="004F7C52"/>
    <w:rsid w:val="00500889"/>
    <w:rsid w:val="00501167"/>
    <w:rsid w:val="00501388"/>
    <w:rsid w:val="00502F77"/>
    <w:rsid w:val="00504C7B"/>
    <w:rsid w:val="0050598D"/>
    <w:rsid w:val="0050700E"/>
    <w:rsid w:val="005116FB"/>
    <w:rsid w:val="0051193D"/>
    <w:rsid w:val="0051244C"/>
    <w:rsid w:val="00512A09"/>
    <w:rsid w:val="005135B9"/>
    <w:rsid w:val="005152B9"/>
    <w:rsid w:val="00515357"/>
    <w:rsid w:val="00515790"/>
    <w:rsid w:val="005160EE"/>
    <w:rsid w:val="0051708A"/>
    <w:rsid w:val="00521BB9"/>
    <w:rsid w:val="00522236"/>
    <w:rsid w:val="0052346F"/>
    <w:rsid w:val="005243C7"/>
    <w:rsid w:val="005256A6"/>
    <w:rsid w:val="00526552"/>
    <w:rsid w:val="00527012"/>
    <w:rsid w:val="005275EC"/>
    <w:rsid w:val="0053049E"/>
    <w:rsid w:val="005308F4"/>
    <w:rsid w:val="0053149E"/>
    <w:rsid w:val="00531E9F"/>
    <w:rsid w:val="00532BC2"/>
    <w:rsid w:val="00532D11"/>
    <w:rsid w:val="0053487B"/>
    <w:rsid w:val="0053567E"/>
    <w:rsid w:val="00537ECA"/>
    <w:rsid w:val="0054053D"/>
    <w:rsid w:val="00540B66"/>
    <w:rsid w:val="00540C47"/>
    <w:rsid w:val="005436EC"/>
    <w:rsid w:val="00543AE7"/>
    <w:rsid w:val="0054442A"/>
    <w:rsid w:val="005466CA"/>
    <w:rsid w:val="00546BB6"/>
    <w:rsid w:val="0055462B"/>
    <w:rsid w:val="0055495F"/>
    <w:rsid w:val="005555D8"/>
    <w:rsid w:val="00556C3A"/>
    <w:rsid w:val="0055737E"/>
    <w:rsid w:val="00557777"/>
    <w:rsid w:val="005600F9"/>
    <w:rsid w:val="00560194"/>
    <w:rsid w:val="005602FD"/>
    <w:rsid w:val="0056074A"/>
    <w:rsid w:val="00561521"/>
    <w:rsid w:val="00561971"/>
    <w:rsid w:val="00562256"/>
    <w:rsid w:val="00562CC7"/>
    <w:rsid w:val="00563168"/>
    <w:rsid w:val="00565428"/>
    <w:rsid w:val="00565D14"/>
    <w:rsid w:val="00566FC7"/>
    <w:rsid w:val="00567227"/>
    <w:rsid w:val="0056748B"/>
    <w:rsid w:val="00567872"/>
    <w:rsid w:val="00567AC5"/>
    <w:rsid w:val="00570E2C"/>
    <w:rsid w:val="0057399B"/>
    <w:rsid w:val="00576AC9"/>
    <w:rsid w:val="00580079"/>
    <w:rsid w:val="00580183"/>
    <w:rsid w:val="005814E1"/>
    <w:rsid w:val="00582ADC"/>
    <w:rsid w:val="0058354D"/>
    <w:rsid w:val="00583C82"/>
    <w:rsid w:val="005848A1"/>
    <w:rsid w:val="00585FC1"/>
    <w:rsid w:val="00586699"/>
    <w:rsid w:val="005872CF"/>
    <w:rsid w:val="00590FB1"/>
    <w:rsid w:val="00595229"/>
    <w:rsid w:val="00595704"/>
    <w:rsid w:val="005A0CAE"/>
    <w:rsid w:val="005A269B"/>
    <w:rsid w:val="005A29E7"/>
    <w:rsid w:val="005A3FF4"/>
    <w:rsid w:val="005A6A5D"/>
    <w:rsid w:val="005A6FA5"/>
    <w:rsid w:val="005A7D1E"/>
    <w:rsid w:val="005B1F35"/>
    <w:rsid w:val="005B58A9"/>
    <w:rsid w:val="005B5991"/>
    <w:rsid w:val="005B650D"/>
    <w:rsid w:val="005B69C0"/>
    <w:rsid w:val="005C0E57"/>
    <w:rsid w:val="005C10F2"/>
    <w:rsid w:val="005C1AAE"/>
    <w:rsid w:val="005C31A4"/>
    <w:rsid w:val="005C31F9"/>
    <w:rsid w:val="005C47BA"/>
    <w:rsid w:val="005C731A"/>
    <w:rsid w:val="005D0D4C"/>
    <w:rsid w:val="005D12F1"/>
    <w:rsid w:val="005D1A81"/>
    <w:rsid w:val="005D2511"/>
    <w:rsid w:val="005D2D2E"/>
    <w:rsid w:val="005D6DF8"/>
    <w:rsid w:val="005D7D12"/>
    <w:rsid w:val="005D7F34"/>
    <w:rsid w:val="005E20D7"/>
    <w:rsid w:val="005E2575"/>
    <w:rsid w:val="005E2982"/>
    <w:rsid w:val="005E53A8"/>
    <w:rsid w:val="005E7D46"/>
    <w:rsid w:val="005F28AB"/>
    <w:rsid w:val="005F28E4"/>
    <w:rsid w:val="005F2C26"/>
    <w:rsid w:val="005F33CA"/>
    <w:rsid w:val="005F3684"/>
    <w:rsid w:val="005F3933"/>
    <w:rsid w:val="005F422E"/>
    <w:rsid w:val="005F5DB4"/>
    <w:rsid w:val="005F75CA"/>
    <w:rsid w:val="005F7987"/>
    <w:rsid w:val="005F7F55"/>
    <w:rsid w:val="005F7F6F"/>
    <w:rsid w:val="006016A1"/>
    <w:rsid w:val="00601D78"/>
    <w:rsid w:val="00601F8E"/>
    <w:rsid w:val="00602B64"/>
    <w:rsid w:val="0060361E"/>
    <w:rsid w:val="006041B5"/>
    <w:rsid w:val="006050DC"/>
    <w:rsid w:val="00606031"/>
    <w:rsid w:val="006060A0"/>
    <w:rsid w:val="00606FC9"/>
    <w:rsid w:val="0060788D"/>
    <w:rsid w:val="00607A7E"/>
    <w:rsid w:val="00610348"/>
    <w:rsid w:val="00611E7C"/>
    <w:rsid w:val="006128B4"/>
    <w:rsid w:val="00614363"/>
    <w:rsid w:val="006146D7"/>
    <w:rsid w:val="00615347"/>
    <w:rsid w:val="0061543F"/>
    <w:rsid w:val="00616F07"/>
    <w:rsid w:val="00617483"/>
    <w:rsid w:val="00620F5C"/>
    <w:rsid w:val="00622E9B"/>
    <w:rsid w:val="0062794B"/>
    <w:rsid w:val="00627FE1"/>
    <w:rsid w:val="00630262"/>
    <w:rsid w:val="00630277"/>
    <w:rsid w:val="006306A4"/>
    <w:rsid w:val="00630DEF"/>
    <w:rsid w:val="0063100C"/>
    <w:rsid w:val="006321AE"/>
    <w:rsid w:val="00632CF2"/>
    <w:rsid w:val="00633213"/>
    <w:rsid w:val="006335CC"/>
    <w:rsid w:val="0063421D"/>
    <w:rsid w:val="00635EDC"/>
    <w:rsid w:val="00636369"/>
    <w:rsid w:val="0064031E"/>
    <w:rsid w:val="00641B89"/>
    <w:rsid w:val="00642333"/>
    <w:rsid w:val="0064270F"/>
    <w:rsid w:val="006428DC"/>
    <w:rsid w:val="00643C7A"/>
    <w:rsid w:val="006445C3"/>
    <w:rsid w:val="0064541B"/>
    <w:rsid w:val="0064796E"/>
    <w:rsid w:val="00651C77"/>
    <w:rsid w:val="00652E75"/>
    <w:rsid w:val="006543A8"/>
    <w:rsid w:val="00654B4A"/>
    <w:rsid w:val="00656087"/>
    <w:rsid w:val="0066003A"/>
    <w:rsid w:val="006608BC"/>
    <w:rsid w:val="00660A8C"/>
    <w:rsid w:val="00661ED1"/>
    <w:rsid w:val="00663181"/>
    <w:rsid w:val="00663C88"/>
    <w:rsid w:val="006643B3"/>
    <w:rsid w:val="00665CFF"/>
    <w:rsid w:val="00665DC8"/>
    <w:rsid w:val="00665E35"/>
    <w:rsid w:val="00665E59"/>
    <w:rsid w:val="006663C3"/>
    <w:rsid w:val="006674DF"/>
    <w:rsid w:val="00667ADC"/>
    <w:rsid w:val="00670E1B"/>
    <w:rsid w:val="00670EF4"/>
    <w:rsid w:val="006722AD"/>
    <w:rsid w:val="00675895"/>
    <w:rsid w:val="00675E84"/>
    <w:rsid w:val="00682E7E"/>
    <w:rsid w:val="00682EB8"/>
    <w:rsid w:val="00684468"/>
    <w:rsid w:val="00685034"/>
    <w:rsid w:val="006856FA"/>
    <w:rsid w:val="006860CF"/>
    <w:rsid w:val="00686470"/>
    <w:rsid w:val="006865BD"/>
    <w:rsid w:val="006868BA"/>
    <w:rsid w:val="00686B11"/>
    <w:rsid w:val="006901E3"/>
    <w:rsid w:val="00692128"/>
    <w:rsid w:val="006929CD"/>
    <w:rsid w:val="00693FF7"/>
    <w:rsid w:val="00697953"/>
    <w:rsid w:val="006A2982"/>
    <w:rsid w:val="006A2E1B"/>
    <w:rsid w:val="006A3BD7"/>
    <w:rsid w:val="006A3E83"/>
    <w:rsid w:val="006A44A2"/>
    <w:rsid w:val="006A4C9A"/>
    <w:rsid w:val="006A5C8D"/>
    <w:rsid w:val="006A6B57"/>
    <w:rsid w:val="006A75CE"/>
    <w:rsid w:val="006A7F2F"/>
    <w:rsid w:val="006B19CD"/>
    <w:rsid w:val="006B19E4"/>
    <w:rsid w:val="006B3D9E"/>
    <w:rsid w:val="006B40EB"/>
    <w:rsid w:val="006B540C"/>
    <w:rsid w:val="006B633B"/>
    <w:rsid w:val="006B6839"/>
    <w:rsid w:val="006C2A9D"/>
    <w:rsid w:val="006C4FDE"/>
    <w:rsid w:val="006C5092"/>
    <w:rsid w:val="006C52DE"/>
    <w:rsid w:val="006C6C2B"/>
    <w:rsid w:val="006D2AE7"/>
    <w:rsid w:val="006D2EC9"/>
    <w:rsid w:val="006D3BAC"/>
    <w:rsid w:val="006D47A5"/>
    <w:rsid w:val="006D6FE8"/>
    <w:rsid w:val="006E0884"/>
    <w:rsid w:val="006E0DF8"/>
    <w:rsid w:val="006E1020"/>
    <w:rsid w:val="006E27B2"/>
    <w:rsid w:val="006E4262"/>
    <w:rsid w:val="006E77E3"/>
    <w:rsid w:val="006F0892"/>
    <w:rsid w:val="006F0926"/>
    <w:rsid w:val="006F1118"/>
    <w:rsid w:val="006F1E11"/>
    <w:rsid w:val="006F6969"/>
    <w:rsid w:val="006F6D75"/>
    <w:rsid w:val="0070012E"/>
    <w:rsid w:val="00701B1C"/>
    <w:rsid w:val="007024AE"/>
    <w:rsid w:val="00703614"/>
    <w:rsid w:val="0070361C"/>
    <w:rsid w:val="00703704"/>
    <w:rsid w:val="00704BB7"/>
    <w:rsid w:val="007050A0"/>
    <w:rsid w:val="00705D9B"/>
    <w:rsid w:val="007070EF"/>
    <w:rsid w:val="00707365"/>
    <w:rsid w:val="00707CE6"/>
    <w:rsid w:val="007104C0"/>
    <w:rsid w:val="00710671"/>
    <w:rsid w:val="00710C14"/>
    <w:rsid w:val="00711565"/>
    <w:rsid w:val="00711907"/>
    <w:rsid w:val="00713D56"/>
    <w:rsid w:val="00713F34"/>
    <w:rsid w:val="007140FD"/>
    <w:rsid w:val="00715AC6"/>
    <w:rsid w:val="00715F2C"/>
    <w:rsid w:val="0071621F"/>
    <w:rsid w:val="00717194"/>
    <w:rsid w:val="0072079D"/>
    <w:rsid w:val="00721137"/>
    <w:rsid w:val="007232B1"/>
    <w:rsid w:val="007234BF"/>
    <w:rsid w:val="007250DE"/>
    <w:rsid w:val="00726A66"/>
    <w:rsid w:val="007277CF"/>
    <w:rsid w:val="0073014C"/>
    <w:rsid w:val="00730891"/>
    <w:rsid w:val="00730D46"/>
    <w:rsid w:val="00730E5A"/>
    <w:rsid w:val="007342B6"/>
    <w:rsid w:val="0073455A"/>
    <w:rsid w:val="00734775"/>
    <w:rsid w:val="00734898"/>
    <w:rsid w:val="00736D61"/>
    <w:rsid w:val="00737A1B"/>
    <w:rsid w:val="00740757"/>
    <w:rsid w:val="00740913"/>
    <w:rsid w:val="007410FF"/>
    <w:rsid w:val="007419A3"/>
    <w:rsid w:val="00741A72"/>
    <w:rsid w:val="007421EA"/>
    <w:rsid w:val="00743350"/>
    <w:rsid w:val="00743380"/>
    <w:rsid w:val="007438ED"/>
    <w:rsid w:val="007475F2"/>
    <w:rsid w:val="00750865"/>
    <w:rsid w:val="00752671"/>
    <w:rsid w:val="00753228"/>
    <w:rsid w:val="00753929"/>
    <w:rsid w:val="00754389"/>
    <w:rsid w:val="00754FDB"/>
    <w:rsid w:val="007609FE"/>
    <w:rsid w:val="00760A9B"/>
    <w:rsid w:val="007610C3"/>
    <w:rsid w:val="0076167E"/>
    <w:rsid w:val="00762580"/>
    <w:rsid w:val="00762BEF"/>
    <w:rsid w:val="00762F7A"/>
    <w:rsid w:val="007631B6"/>
    <w:rsid w:val="00764B0B"/>
    <w:rsid w:val="00765151"/>
    <w:rsid w:val="007659CA"/>
    <w:rsid w:val="00770C04"/>
    <w:rsid w:val="00771C31"/>
    <w:rsid w:val="00774A87"/>
    <w:rsid w:val="00775602"/>
    <w:rsid w:val="00776466"/>
    <w:rsid w:val="007776C7"/>
    <w:rsid w:val="00781421"/>
    <w:rsid w:val="00782D9B"/>
    <w:rsid w:val="00782EAA"/>
    <w:rsid w:val="00782F70"/>
    <w:rsid w:val="0078324E"/>
    <w:rsid w:val="00786029"/>
    <w:rsid w:val="0078704F"/>
    <w:rsid w:val="00787094"/>
    <w:rsid w:val="007911EC"/>
    <w:rsid w:val="00796A77"/>
    <w:rsid w:val="00796BA8"/>
    <w:rsid w:val="00797436"/>
    <w:rsid w:val="00797672"/>
    <w:rsid w:val="007A0AA5"/>
    <w:rsid w:val="007A2C79"/>
    <w:rsid w:val="007A2E10"/>
    <w:rsid w:val="007A69F7"/>
    <w:rsid w:val="007A6C4E"/>
    <w:rsid w:val="007A6D8A"/>
    <w:rsid w:val="007A6DD7"/>
    <w:rsid w:val="007A76E4"/>
    <w:rsid w:val="007A7DFF"/>
    <w:rsid w:val="007B2230"/>
    <w:rsid w:val="007B2B44"/>
    <w:rsid w:val="007B2EB0"/>
    <w:rsid w:val="007B36BB"/>
    <w:rsid w:val="007C1770"/>
    <w:rsid w:val="007C1E22"/>
    <w:rsid w:val="007C3888"/>
    <w:rsid w:val="007C4FB8"/>
    <w:rsid w:val="007C516E"/>
    <w:rsid w:val="007C6105"/>
    <w:rsid w:val="007C6C06"/>
    <w:rsid w:val="007C7921"/>
    <w:rsid w:val="007D0A52"/>
    <w:rsid w:val="007D13AD"/>
    <w:rsid w:val="007D1A3A"/>
    <w:rsid w:val="007D2405"/>
    <w:rsid w:val="007D25EF"/>
    <w:rsid w:val="007D2F04"/>
    <w:rsid w:val="007D3A30"/>
    <w:rsid w:val="007D5091"/>
    <w:rsid w:val="007D6062"/>
    <w:rsid w:val="007D6970"/>
    <w:rsid w:val="007D6B0B"/>
    <w:rsid w:val="007D71C7"/>
    <w:rsid w:val="007D7D13"/>
    <w:rsid w:val="007E087A"/>
    <w:rsid w:val="007E0CDD"/>
    <w:rsid w:val="007E15F7"/>
    <w:rsid w:val="007E400F"/>
    <w:rsid w:val="007E406B"/>
    <w:rsid w:val="007E4D19"/>
    <w:rsid w:val="007E5C5F"/>
    <w:rsid w:val="007E6A04"/>
    <w:rsid w:val="007F030F"/>
    <w:rsid w:val="007F05C5"/>
    <w:rsid w:val="007F3D6E"/>
    <w:rsid w:val="007F6006"/>
    <w:rsid w:val="007F7A28"/>
    <w:rsid w:val="00800533"/>
    <w:rsid w:val="00800A1D"/>
    <w:rsid w:val="00801C21"/>
    <w:rsid w:val="008031E8"/>
    <w:rsid w:val="00803828"/>
    <w:rsid w:val="00803E22"/>
    <w:rsid w:val="008045AA"/>
    <w:rsid w:val="0080478D"/>
    <w:rsid w:val="008058A8"/>
    <w:rsid w:val="0080790F"/>
    <w:rsid w:val="008101EA"/>
    <w:rsid w:val="008103E8"/>
    <w:rsid w:val="00811EFE"/>
    <w:rsid w:val="0081289B"/>
    <w:rsid w:val="0081396C"/>
    <w:rsid w:val="00813D93"/>
    <w:rsid w:val="00814F03"/>
    <w:rsid w:val="0081582C"/>
    <w:rsid w:val="00815D29"/>
    <w:rsid w:val="00815F25"/>
    <w:rsid w:val="008164C1"/>
    <w:rsid w:val="008168A1"/>
    <w:rsid w:val="00816BE8"/>
    <w:rsid w:val="008206BB"/>
    <w:rsid w:val="00820B59"/>
    <w:rsid w:val="008230EE"/>
    <w:rsid w:val="00826AE5"/>
    <w:rsid w:val="00826D1F"/>
    <w:rsid w:val="00826DAF"/>
    <w:rsid w:val="0082715A"/>
    <w:rsid w:val="008317D1"/>
    <w:rsid w:val="0083217D"/>
    <w:rsid w:val="008327EE"/>
    <w:rsid w:val="00836304"/>
    <w:rsid w:val="00836B5A"/>
    <w:rsid w:val="0084193E"/>
    <w:rsid w:val="00841CAD"/>
    <w:rsid w:val="00842743"/>
    <w:rsid w:val="00844820"/>
    <w:rsid w:val="00844A56"/>
    <w:rsid w:val="00846E17"/>
    <w:rsid w:val="0084712B"/>
    <w:rsid w:val="008502FF"/>
    <w:rsid w:val="00850531"/>
    <w:rsid w:val="00850C87"/>
    <w:rsid w:val="00850E9A"/>
    <w:rsid w:val="00853128"/>
    <w:rsid w:val="00855F0F"/>
    <w:rsid w:val="008578CF"/>
    <w:rsid w:val="0086029E"/>
    <w:rsid w:val="0086087B"/>
    <w:rsid w:val="00862082"/>
    <w:rsid w:val="00866584"/>
    <w:rsid w:val="00871F47"/>
    <w:rsid w:val="00872400"/>
    <w:rsid w:val="00873D81"/>
    <w:rsid w:val="008762C9"/>
    <w:rsid w:val="00877B0C"/>
    <w:rsid w:val="00877C22"/>
    <w:rsid w:val="0088009E"/>
    <w:rsid w:val="0088090E"/>
    <w:rsid w:val="00880DFF"/>
    <w:rsid w:val="008814AB"/>
    <w:rsid w:val="00884EEC"/>
    <w:rsid w:val="00885236"/>
    <w:rsid w:val="00890D8A"/>
    <w:rsid w:val="00891208"/>
    <w:rsid w:val="00893702"/>
    <w:rsid w:val="00894AC7"/>
    <w:rsid w:val="00897FCB"/>
    <w:rsid w:val="008A01F2"/>
    <w:rsid w:val="008A0A0E"/>
    <w:rsid w:val="008A10C7"/>
    <w:rsid w:val="008A2CE9"/>
    <w:rsid w:val="008A67FD"/>
    <w:rsid w:val="008A78BC"/>
    <w:rsid w:val="008B06D4"/>
    <w:rsid w:val="008B3FEA"/>
    <w:rsid w:val="008B40DC"/>
    <w:rsid w:val="008B6ABB"/>
    <w:rsid w:val="008B73BC"/>
    <w:rsid w:val="008C009D"/>
    <w:rsid w:val="008C0854"/>
    <w:rsid w:val="008C4763"/>
    <w:rsid w:val="008C4E4E"/>
    <w:rsid w:val="008C526C"/>
    <w:rsid w:val="008C5BEE"/>
    <w:rsid w:val="008C5D06"/>
    <w:rsid w:val="008C6893"/>
    <w:rsid w:val="008C6C56"/>
    <w:rsid w:val="008C77C9"/>
    <w:rsid w:val="008C7E2C"/>
    <w:rsid w:val="008D3201"/>
    <w:rsid w:val="008D33DC"/>
    <w:rsid w:val="008D41E2"/>
    <w:rsid w:val="008D4D65"/>
    <w:rsid w:val="008D5059"/>
    <w:rsid w:val="008D680A"/>
    <w:rsid w:val="008D7011"/>
    <w:rsid w:val="008D70E5"/>
    <w:rsid w:val="008D79DE"/>
    <w:rsid w:val="008E0C18"/>
    <w:rsid w:val="008E191D"/>
    <w:rsid w:val="008E2623"/>
    <w:rsid w:val="008E5A65"/>
    <w:rsid w:val="008E6087"/>
    <w:rsid w:val="008E618C"/>
    <w:rsid w:val="008E7138"/>
    <w:rsid w:val="008E72D5"/>
    <w:rsid w:val="008E7530"/>
    <w:rsid w:val="008F0093"/>
    <w:rsid w:val="008F0157"/>
    <w:rsid w:val="008F1170"/>
    <w:rsid w:val="008F19A1"/>
    <w:rsid w:val="008F33C3"/>
    <w:rsid w:val="008F3747"/>
    <w:rsid w:val="008F42C3"/>
    <w:rsid w:val="008F4506"/>
    <w:rsid w:val="008F51A9"/>
    <w:rsid w:val="008F56FE"/>
    <w:rsid w:val="008F6068"/>
    <w:rsid w:val="008F707F"/>
    <w:rsid w:val="009008DF"/>
    <w:rsid w:val="00901302"/>
    <w:rsid w:val="009016DF"/>
    <w:rsid w:val="0090199E"/>
    <w:rsid w:val="00903F32"/>
    <w:rsid w:val="00904A69"/>
    <w:rsid w:val="00906C23"/>
    <w:rsid w:val="0091220E"/>
    <w:rsid w:val="00912B02"/>
    <w:rsid w:val="00915E89"/>
    <w:rsid w:val="00916C73"/>
    <w:rsid w:val="00924CD7"/>
    <w:rsid w:val="009254F4"/>
    <w:rsid w:val="00925E88"/>
    <w:rsid w:val="009264CB"/>
    <w:rsid w:val="00930040"/>
    <w:rsid w:val="00931BB3"/>
    <w:rsid w:val="00932F0E"/>
    <w:rsid w:val="00933EE5"/>
    <w:rsid w:val="00935742"/>
    <w:rsid w:val="00936799"/>
    <w:rsid w:val="00936B56"/>
    <w:rsid w:val="00936D38"/>
    <w:rsid w:val="00937ABE"/>
    <w:rsid w:val="00940B3E"/>
    <w:rsid w:val="00940E06"/>
    <w:rsid w:val="009410BD"/>
    <w:rsid w:val="009411DE"/>
    <w:rsid w:val="0094129E"/>
    <w:rsid w:val="00942F71"/>
    <w:rsid w:val="00944A49"/>
    <w:rsid w:val="00944D7D"/>
    <w:rsid w:val="00945D46"/>
    <w:rsid w:val="00946871"/>
    <w:rsid w:val="00947456"/>
    <w:rsid w:val="00947545"/>
    <w:rsid w:val="00947ACA"/>
    <w:rsid w:val="00947BD8"/>
    <w:rsid w:val="00950EC9"/>
    <w:rsid w:val="00951570"/>
    <w:rsid w:val="00952420"/>
    <w:rsid w:val="009552DC"/>
    <w:rsid w:val="00955B4D"/>
    <w:rsid w:val="00960C8E"/>
    <w:rsid w:val="009630D4"/>
    <w:rsid w:val="0096503C"/>
    <w:rsid w:val="00965719"/>
    <w:rsid w:val="009664DF"/>
    <w:rsid w:val="0096673C"/>
    <w:rsid w:val="00967571"/>
    <w:rsid w:val="009675F8"/>
    <w:rsid w:val="00967625"/>
    <w:rsid w:val="00973908"/>
    <w:rsid w:val="00974AF2"/>
    <w:rsid w:val="00975CC0"/>
    <w:rsid w:val="00975DDC"/>
    <w:rsid w:val="00975FBB"/>
    <w:rsid w:val="00977172"/>
    <w:rsid w:val="0097763D"/>
    <w:rsid w:val="00977793"/>
    <w:rsid w:val="00977FD6"/>
    <w:rsid w:val="00982727"/>
    <w:rsid w:val="0098300F"/>
    <w:rsid w:val="009919ED"/>
    <w:rsid w:val="009934F8"/>
    <w:rsid w:val="0099411E"/>
    <w:rsid w:val="00994462"/>
    <w:rsid w:val="00994B3D"/>
    <w:rsid w:val="00994C22"/>
    <w:rsid w:val="00994F69"/>
    <w:rsid w:val="00995174"/>
    <w:rsid w:val="0099553A"/>
    <w:rsid w:val="0099697E"/>
    <w:rsid w:val="00997378"/>
    <w:rsid w:val="009A0116"/>
    <w:rsid w:val="009A04DE"/>
    <w:rsid w:val="009A0A90"/>
    <w:rsid w:val="009A16DE"/>
    <w:rsid w:val="009A21D2"/>
    <w:rsid w:val="009A26DE"/>
    <w:rsid w:val="009A282E"/>
    <w:rsid w:val="009A3B65"/>
    <w:rsid w:val="009A4224"/>
    <w:rsid w:val="009A46DD"/>
    <w:rsid w:val="009A4C0B"/>
    <w:rsid w:val="009A6972"/>
    <w:rsid w:val="009A6CF1"/>
    <w:rsid w:val="009A7CB4"/>
    <w:rsid w:val="009B1BD8"/>
    <w:rsid w:val="009B3FC7"/>
    <w:rsid w:val="009B407C"/>
    <w:rsid w:val="009B6263"/>
    <w:rsid w:val="009B6EE8"/>
    <w:rsid w:val="009C0069"/>
    <w:rsid w:val="009C0726"/>
    <w:rsid w:val="009C0A08"/>
    <w:rsid w:val="009C1FEC"/>
    <w:rsid w:val="009C2A16"/>
    <w:rsid w:val="009C38E3"/>
    <w:rsid w:val="009C424A"/>
    <w:rsid w:val="009C50AA"/>
    <w:rsid w:val="009C7472"/>
    <w:rsid w:val="009D3D21"/>
    <w:rsid w:val="009D3D5E"/>
    <w:rsid w:val="009D3F4F"/>
    <w:rsid w:val="009D43CD"/>
    <w:rsid w:val="009D5135"/>
    <w:rsid w:val="009D7B23"/>
    <w:rsid w:val="009D7DE5"/>
    <w:rsid w:val="009E144C"/>
    <w:rsid w:val="009E2457"/>
    <w:rsid w:val="009E27F2"/>
    <w:rsid w:val="009E6764"/>
    <w:rsid w:val="009E68DE"/>
    <w:rsid w:val="009E76B0"/>
    <w:rsid w:val="009F06ED"/>
    <w:rsid w:val="009F07F5"/>
    <w:rsid w:val="009F3EFA"/>
    <w:rsid w:val="009F625A"/>
    <w:rsid w:val="009F6719"/>
    <w:rsid w:val="009F6AF8"/>
    <w:rsid w:val="009F7D44"/>
    <w:rsid w:val="009F7F91"/>
    <w:rsid w:val="009F7FA6"/>
    <w:rsid w:val="00A047DA"/>
    <w:rsid w:val="00A055CC"/>
    <w:rsid w:val="00A05EE3"/>
    <w:rsid w:val="00A06376"/>
    <w:rsid w:val="00A07831"/>
    <w:rsid w:val="00A10207"/>
    <w:rsid w:val="00A136C2"/>
    <w:rsid w:val="00A13EF4"/>
    <w:rsid w:val="00A1473A"/>
    <w:rsid w:val="00A14B87"/>
    <w:rsid w:val="00A14BB7"/>
    <w:rsid w:val="00A16A35"/>
    <w:rsid w:val="00A16F1B"/>
    <w:rsid w:val="00A20B7B"/>
    <w:rsid w:val="00A21012"/>
    <w:rsid w:val="00A21DF2"/>
    <w:rsid w:val="00A22094"/>
    <w:rsid w:val="00A22BFF"/>
    <w:rsid w:val="00A23553"/>
    <w:rsid w:val="00A24328"/>
    <w:rsid w:val="00A243B8"/>
    <w:rsid w:val="00A253A2"/>
    <w:rsid w:val="00A2752F"/>
    <w:rsid w:val="00A27EE7"/>
    <w:rsid w:val="00A31426"/>
    <w:rsid w:val="00A32302"/>
    <w:rsid w:val="00A33302"/>
    <w:rsid w:val="00A334DB"/>
    <w:rsid w:val="00A3383A"/>
    <w:rsid w:val="00A345B9"/>
    <w:rsid w:val="00A34D47"/>
    <w:rsid w:val="00A35222"/>
    <w:rsid w:val="00A3656A"/>
    <w:rsid w:val="00A36AB6"/>
    <w:rsid w:val="00A37633"/>
    <w:rsid w:val="00A41CFF"/>
    <w:rsid w:val="00A42223"/>
    <w:rsid w:val="00A42A14"/>
    <w:rsid w:val="00A4336E"/>
    <w:rsid w:val="00A446CC"/>
    <w:rsid w:val="00A45180"/>
    <w:rsid w:val="00A45D2A"/>
    <w:rsid w:val="00A464E9"/>
    <w:rsid w:val="00A5055B"/>
    <w:rsid w:val="00A50776"/>
    <w:rsid w:val="00A50E6F"/>
    <w:rsid w:val="00A51202"/>
    <w:rsid w:val="00A517EA"/>
    <w:rsid w:val="00A536A4"/>
    <w:rsid w:val="00A54E97"/>
    <w:rsid w:val="00A55BC6"/>
    <w:rsid w:val="00A56429"/>
    <w:rsid w:val="00A572F4"/>
    <w:rsid w:val="00A5776F"/>
    <w:rsid w:val="00A60ACC"/>
    <w:rsid w:val="00A6109C"/>
    <w:rsid w:val="00A615FD"/>
    <w:rsid w:val="00A62507"/>
    <w:rsid w:val="00A629EB"/>
    <w:rsid w:val="00A62D39"/>
    <w:rsid w:val="00A67878"/>
    <w:rsid w:val="00A67EFF"/>
    <w:rsid w:val="00A707A8"/>
    <w:rsid w:val="00A70890"/>
    <w:rsid w:val="00A72E29"/>
    <w:rsid w:val="00A73010"/>
    <w:rsid w:val="00A73625"/>
    <w:rsid w:val="00A75785"/>
    <w:rsid w:val="00A762FF"/>
    <w:rsid w:val="00A77958"/>
    <w:rsid w:val="00A779B4"/>
    <w:rsid w:val="00A77A6D"/>
    <w:rsid w:val="00A806E1"/>
    <w:rsid w:val="00A81130"/>
    <w:rsid w:val="00A8185A"/>
    <w:rsid w:val="00A81EC0"/>
    <w:rsid w:val="00A837E5"/>
    <w:rsid w:val="00A84E7A"/>
    <w:rsid w:val="00A84FF5"/>
    <w:rsid w:val="00A852E7"/>
    <w:rsid w:val="00A863F3"/>
    <w:rsid w:val="00A87329"/>
    <w:rsid w:val="00A90984"/>
    <w:rsid w:val="00A91022"/>
    <w:rsid w:val="00A91D06"/>
    <w:rsid w:val="00A92778"/>
    <w:rsid w:val="00A9378C"/>
    <w:rsid w:val="00A94AFE"/>
    <w:rsid w:val="00A94FD9"/>
    <w:rsid w:val="00A954BE"/>
    <w:rsid w:val="00A960DE"/>
    <w:rsid w:val="00A97E2D"/>
    <w:rsid w:val="00AA0A68"/>
    <w:rsid w:val="00AA4529"/>
    <w:rsid w:val="00AA479A"/>
    <w:rsid w:val="00AA6013"/>
    <w:rsid w:val="00AA784D"/>
    <w:rsid w:val="00AB03B0"/>
    <w:rsid w:val="00AB601E"/>
    <w:rsid w:val="00AB6566"/>
    <w:rsid w:val="00AB716E"/>
    <w:rsid w:val="00AB7AAA"/>
    <w:rsid w:val="00AC0B9C"/>
    <w:rsid w:val="00AC12B6"/>
    <w:rsid w:val="00AC2C97"/>
    <w:rsid w:val="00AC30A4"/>
    <w:rsid w:val="00AC3B1D"/>
    <w:rsid w:val="00AC64F1"/>
    <w:rsid w:val="00AC7841"/>
    <w:rsid w:val="00AD1D3F"/>
    <w:rsid w:val="00AD2342"/>
    <w:rsid w:val="00AD27AA"/>
    <w:rsid w:val="00AD3B24"/>
    <w:rsid w:val="00AD51D7"/>
    <w:rsid w:val="00AD57B5"/>
    <w:rsid w:val="00AE2519"/>
    <w:rsid w:val="00AE3167"/>
    <w:rsid w:val="00AE377D"/>
    <w:rsid w:val="00AE39BE"/>
    <w:rsid w:val="00AE3AB0"/>
    <w:rsid w:val="00AE42FF"/>
    <w:rsid w:val="00AE48A6"/>
    <w:rsid w:val="00AF07DB"/>
    <w:rsid w:val="00AF09C3"/>
    <w:rsid w:val="00AF11BC"/>
    <w:rsid w:val="00AF3310"/>
    <w:rsid w:val="00AF4962"/>
    <w:rsid w:val="00AF59F4"/>
    <w:rsid w:val="00AF6BEA"/>
    <w:rsid w:val="00AF7CDA"/>
    <w:rsid w:val="00B01431"/>
    <w:rsid w:val="00B02CC0"/>
    <w:rsid w:val="00B02D9C"/>
    <w:rsid w:val="00B03320"/>
    <w:rsid w:val="00B03BC2"/>
    <w:rsid w:val="00B04042"/>
    <w:rsid w:val="00B055A5"/>
    <w:rsid w:val="00B05F6A"/>
    <w:rsid w:val="00B06737"/>
    <w:rsid w:val="00B06E4E"/>
    <w:rsid w:val="00B10A23"/>
    <w:rsid w:val="00B10DDA"/>
    <w:rsid w:val="00B114F1"/>
    <w:rsid w:val="00B119F3"/>
    <w:rsid w:val="00B125D6"/>
    <w:rsid w:val="00B128E3"/>
    <w:rsid w:val="00B12DBA"/>
    <w:rsid w:val="00B13D12"/>
    <w:rsid w:val="00B14CCD"/>
    <w:rsid w:val="00B16740"/>
    <w:rsid w:val="00B1748D"/>
    <w:rsid w:val="00B17DE3"/>
    <w:rsid w:val="00B22873"/>
    <w:rsid w:val="00B228ED"/>
    <w:rsid w:val="00B23742"/>
    <w:rsid w:val="00B23CA7"/>
    <w:rsid w:val="00B2407E"/>
    <w:rsid w:val="00B25076"/>
    <w:rsid w:val="00B26894"/>
    <w:rsid w:val="00B2785C"/>
    <w:rsid w:val="00B27D0B"/>
    <w:rsid w:val="00B30CF4"/>
    <w:rsid w:val="00B31091"/>
    <w:rsid w:val="00B317DB"/>
    <w:rsid w:val="00B349BB"/>
    <w:rsid w:val="00B36432"/>
    <w:rsid w:val="00B36912"/>
    <w:rsid w:val="00B37501"/>
    <w:rsid w:val="00B42797"/>
    <w:rsid w:val="00B42E88"/>
    <w:rsid w:val="00B43391"/>
    <w:rsid w:val="00B43B1E"/>
    <w:rsid w:val="00B51E6A"/>
    <w:rsid w:val="00B52F48"/>
    <w:rsid w:val="00B53B2E"/>
    <w:rsid w:val="00B53F7A"/>
    <w:rsid w:val="00B570A0"/>
    <w:rsid w:val="00B60675"/>
    <w:rsid w:val="00B60E77"/>
    <w:rsid w:val="00B621DB"/>
    <w:rsid w:val="00B623FE"/>
    <w:rsid w:val="00B62736"/>
    <w:rsid w:val="00B63DBA"/>
    <w:rsid w:val="00B6469C"/>
    <w:rsid w:val="00B67881"/>
    <w:rsid w:val="00B678B9"/>
    <w:rsid w:val="00B67F21"/>
    <w:rsid w:val="00B705F3"/>
    <w:rsid w:val="00B70F13"/>
    <w:rsid w:val="00B71D40"/>
    <w:rsid w:val="00B72D0A"/>
    <w:rsid w:val="00B731DB"/>
    <w:rsid w:val="00B752D9"/>
    <w:rsid w:val="00B76BB6"/>
    <w:rsid w:val="00B776B5"/>
    <w:rsid w:val="00B813CC"/>
    <w:rsid w:val="00B84C6F"/>
    <w:rsid w:val="00B86976"/>
    <w:rsid w:val="00B87DEF"/>
    <w:rsid w:val="00B87E9A"/>
    <w:rsid w:val="00B87F55"/>
    <w:rsid w:val="00B9067D"/>
    <w:rsid w:val="00B92734"/>
    <w:rsid w:val="00B92AC3"/>
    <w:rsid w:val="00B92D92"/>
    <w:rsid w:val="00B95AE5"/>
    <w:rsid w:val="00B967E4"/>
    <w:rsid w:val="00B97F1B"/>
    <w:rsid w:val="00BA0163"/>
    <w:rsid w:val="00BA034C"/>
    <w:rsid w:val="00BA10A2"/>
    <w:rsid w:val="00BA42BB"/>
    <w:rsid w:val="00BA4C20"/>
    <w:rsid w:val="00BA5E3E"/>
    <w:rsid w:val="00BA661A"/>
    <w:rsid w:val="00BA6C08"/>
    <w:rsid w:val="00BA7039"/>
    <w:rsid w:val="00BA74C3"/>
    <w:rsid w:val="00BB1615"/>
    <w:rsid w:val="00BB1A4E"/>
    <w:rsid w:val="00BB2CFE"/>
    <w:rsid w:val="00BB2DC3"/>
    <w:rsid w:val="00BB36D4"/>
    <w:rsid w:val="00BB3CB7"/>
    <w:rsid w:val="00BB5B95"/>
    <w:rsid w:val="00BB5D1C"/>
    <w:rsid w:val="00BB6DAC"/>
    <w:rsid w:val="00BB7F33"/>
    <w:rsid w:val="00BC054D"/>
    <w:rsid w:val="00BC2326"/>
    <w:rsid w:val="00BC2CDB"/>
    <w:rsid w:val="00BC35F5"/>
    <w:rsid w:val="00BC5986"/>
    <w:rsid w:val="00BC63E3"/>
    <w:rsid w:val="00BC6B5E"/>
    <w:rsid w:val="00BC6CF1"/>
    <w:rsid w:val="00BD0E96"/>
    <w:rsid w:val="00BD2684"/>
    <w:rsid w:val="00BD28BC"/>
    <w:rsid w:val="00BD395A"/>
    <w:rsid w:val="00BD4A2F"/>
    <w:rsid w:val="00BD5A2C"/>
    <w:rsid w:val="00BD661D"/>
    <w:rsid w:val="00BD6B8E"/>
    <w:rsid w:val="00BD71D4"/>
    <w:rsid w:val="00BD7AD4"/>
    <w:rsid w:val="00BE03C4"/>
    <w:rsid w:val="00BE08D4"/>
    <w:rsid w:val="00BE11B4"/>
    <w:rsid w:val="00BE1E78"/>
    <w:rsid w:val="00BE2E83"/>
    <w:rsid w:val="00BE38C2"/>
    <w:rsid w:val="00BE4B12"/>
    <w:rsid w:val="00BE7024"/>
    <w:rsid w:val="00BE717B"/>
    <w:rsid w:val="00BE7242"/>
    <w:rsid w:val="00BF0704"/>
    <w:rsid w:val="00BF1A8D"/>
    <w:rsid w:val="00BF1AF2"/>
    <w:rsid w:val="00BF1C90"/>
    <w:rsid w:val="00BF1D21"/>
    <w:rsid w:val="00BF2340"/>
    <w:rsid w:val="00BF32D6"/>
    <w:rsid w:val="00BF4EAA"/>
    <w:rsid w:val="00BF75BC"/>
    <w:rsid w:val="00BF79DE"/>
    <w:rsid w:val="00C0169B"/>
    <w:rsid w:val="00C01975"/>
    <w:rsid w:val="00C0299F"/>
    <w:rsid w:val="00C04112"/>
    <w:rsid w:val="00C06F46"/>
    <w:rsid w:val="00C10617"/>
    <w:rsid w:val="00C1077F"/>
    <w:rsid w:val="00C11EC8"/>
    <w:rsid w:val="00C135B2"/>
    <w:rsid w:val="00C15BE9"/>
    <w:rsid w:val="00C162A8"/>
    <w:rsid w:val="00C162F8"/>
    <w:rsid w:val="00C16621"/>
    <w:rsid w:val="00C1664B"/>
    <w:rsid w:val="00C16A1E"/>
    <w:rsid w:val="00C20AF3"/>
    <w:rsid w:val="00C25664"/>
    <w:rsid w:val="00C26667"/>
    <w:rsid w:val="00C270AC"/>
    <w:rsid w:val="00C3080A"/>
    <w:rsid w:val="00C31391"/>
    <w:rsid w:val="00C33CE7"/>
    <w:rsid w:val="00C33DDC"/>
    <w:rsid w:val="00C34A76"/>
    <w:rsid w:val="00C35662"/>
    <w:rsid w:val="00C35B03"/>
    <w:rsid w:val="00C35F36"/>
    <w:rsid w:val="00C41199"/>
    <w:rsid w:val="00C45ABC"/>
    <w:rsid w:val="00C45DD9"/>
    <w:rsid w:val="00C4652D"/>
    <w:rsid w:val="00C505A2"/>
    <w:rsid w:val="00C52749"/>
    <w:rsid w:val="00C52E18"/>
    <w:rsid w:val="00C52E56"/>
    <w:rsid w:val="00C56535"/>
    <w:rsid w:val="00C565AC"/>
    <w:rsid w:val="00C61A65"/>
    <w:rsid w:val="00C620AC"/>
    <w:rsid w:val="00C6234F"/>
    <w:rsid w:val="00C62609"/>
    <w:rsid w:val="00C62C2A"/>
    <w:rsid w:val="00C6346A"/>
    <w:rsid w:val="00C652F7"/>
    <w:rsid w:val="00C66966"/>
    <w:rsid w:val="00C677AE"/>
    <w:rsid w:val="00C71720"/>
    <w:rsid w:val="00C721F3"/>
    <w:rsid w:val="00C7402B"/>
    <w:rsid w:val="00C74F20"/>
    <w:rsid w:val="00C7605E"/>
    <w:rsid w:val="00C77D61"/>
    <w:rsid w:val="00C80E1E"/>
    <w:rsid w:val="00C82540"/>
    <w:rsid w:val="00C82774"/>
    <w:rsid w:val="00C834AA"/>
    <w:rsid w:val="00C848E9"/>
    <w:rsid w:val="00C85486"/>
    <w:rsid w:val="00C85653"/>
    <w:rsid w:val="00C857CB"/>
    <w:rsid w:val="00C8655D"/>
    <w:rsid w:val="00C906BF"/>
    <w:rsid w:val="00C90B1D"/>
    <w:rsid w:val="00C91C35"/>
    <w:rsid w:val="00C93035"/>
    <w:rsid w:val="00C96ABF"/>
    <w:rsid w:val="00C9720D"/>
    <w:rsid w:val="00C97245"/>
    <w:rsid w:val="00CA0B84"/>
    <w:rsid w:val="00CA338C"/>
    <w:rsid w:val="00CA3C38"/>
    <w:rsid w:val="00CA4C00"/>
    <w:rsid w:val="00CA4D14"/>
    <w:rsid w:val="00CA5164"/>
    <w:rsid w:val="00CA5F00"/>
    <w:rsid w:val="00CA61F0"/>
    <w:rsid w:val="00CA6DDB"/>
    <w:rsid w:val="00CB11D4"/>
    <w:rsid w:val="00CB1D49"/>
    <w:rsid w:val="00CB5609"/>
    <w:rsid w:val="00CB6101"/>
    <w:rsid w:val="00CB780E"/>
    <w:rsid w:val="00CC075E"/>
    <w:rsid w:val="00CC0C62"/>
    <w:rsid w:val="00CC15E5"/>
    <w:rsid w:val="00CC1C35"/>
    <w:rsid w:val="00CC44EF"/>
    <w:rsid w:val="00CC4630"/>
    <w:rsid w:val="00CC467B"/>
    <w:rsid w:val="00CC7006"/>
    <w:rsid w:val="00CC7016"/>
    <w:rsid w:val="00CC77DF"/>
    <w:rsid w:val="00CD2EDF"/>
    <w:rsid w:val="00CD3315"/>
    <w:rsid w:val="00CD46F3"/>
    <w:rsid w:val="00CD48FF"/>
    <w:rsid w:val="00CD7576"/>
    <w:rsid w:val="00CE0FDB"/>
    <w:rsid w:val="00CE1C98"/>
    <w:rsid w:val="00CE5082"/>
    <w:rsid w:val="00CE5810"/>
    <w:rsid w:val="00CE5C92"/>
    <w:rsid w:val="00CE72A4"/>
    <w:rsid w:val="00CE7406"/>
    <w:rsid w:val="00CE794E"/>
    <w:rsid w:val="00CF057B"/>
    <w:rsid w:val="00CF0C49"/>
    <w:rsid w:val="00CF1775"/>
    <w:rsid w:val="00CF33F4"/>
    <w:rsid w:val="00CF3E68"/>
    <w:rsid w:val="00CF50FA"/>
    <w:rsid w:val="00CF5FC0"/>
    <w:rsid w:val="00CF63C5"/>
    <w:rsid w:val="00CF79AB"/>
    <w:rsid w:val="00D01071"/>
    <w:rsid w:val="00D01D2D"/>
    <w:rsid w:val="00D02FC1"/>
    <w:rsid w:val="00D03281"/>
    <w:rsid w:val="00D03CC0"/>
    <w:rsid w:val="00D052C1"/>
    <w:rsid w:val="00D05874"/>
    <w:rsid w:val="00D05B9A"/>
    <w:rsid w:val="00D05D88"/>
    <w:rsid w:val="00D104C2"/>
    <w:rsid w:val="00D10574"/>
    <w:rsid w:val="00D10DDF"/>
    <w:rsid w:val="00D11244"/>
    <w:rsid w:val="00D11AE5"/>
    <w:rsid w:val="00D11D95"/>
    <w:rsid w:val="00D127CF"/>
    <w:rsid w:val="00D14562"/>
    <w:rsid w:val="00D16389"/>
    <w:rsid w:val="00D16752"/>
    <w:rsid w:val="00D16F30"/>
    <w:rsid w:val="00D2236C"/>
    <w:rsid w:val="00D23703"/>
    <w:rsid w:val="00D237D4"/>
    <w:rsid w:val="00D24B8E"/>
    <w:rsid w:val="00D24DB8"/>
    <w:rsid w:val="00D25A4C"/>
    <w:rsid w:val="00D26947"/>
    <w:rsid w:val="00D26F68"/>
    <w:rsid w:val="00D2747C"/>
    <w:rsid w:val="00D3269B"/>
    <w:rsid w:val="00D35A88"/>
    <w:rsid w:val="00D373E0"/>
    <w:rsid w:val="00D40078"/>
    <w:rsid w:val="00D40133"/>
    <w:rsid w:val="00D40FAB"/>
    <w:rsid w:val="00D410BA"/>
    <w:rsid w:val="00D419DA"/>
    <w:rsid w:val="00D43783"/>
    <w:rsid w:val="00D44275"/>
    <w:rsid w:val="00D46199"/>
    <w:rsid w:val="00D511AD"/>
    <w:rsid w:val="00D5128C"/>
    <w:rsid w:val="00D52D6F"/>
    <w:rsid w:val="00D53289"/>
    <w:rsid w:val="00D53BCA"/>
    <w:rsid w:val="00D5413D"/>
    <w:rsid w:val="00D54ED9"/>
    <w:rsid w:val="00D553A0"/>
    <w:rsid w:val="00D55ADC"/>
    <w:rsid w:val="00D55E78"/>
    <w:rsid w:val="00D56B24"/>
    <w:rsid w:val="00D61B5C"/>
    <w:rsid w:val="00D61F46"/>
    <w:rsid w:val="00D620C5"/>
    <w:rsid w:val="00D63161"/>
    <w:rsid w:val="00D70BAA"/>
    <w:rsid w:val="00D70FC5"/>
    <w:rsid w:val="00D7207A"/>
    <w:rsid w:val="00D721B7"/>
    <w:rsid w:val="00D721BF"/>
    <w:rsid w:val="00D7234D"/>
    <w:rsid w:val="00D72854"/>
    <w:rsid w:val="00D7364C"/>
    <w:rsid w:val="00D756B6"/>
    <w:rsid w:val="00D756F0"/>
    <w:rsid w:val="00D75749"/>
    <w:rsid w:val="00D7783E"/>
    <w:rsid w:val="00D80166"/>
    <w:rsid w:val="00D80A6A"/>
    <w:rsid w:val="00D81151"/>
    <w:rsid w:val="00D81E03"/>
    <w:rsid w:val="00D82A1B"/>
    <w:rsid w:val="00D84549"/>
    <w:rsid w:val="00D878A0"/>
    <w:rsid w:val="00D9196B"/>
    <w:rsid w:val="00D91AE0"/>
    <w:rsid w:val="00D923D5"/>
    <w:rsid w:val="00D928DE"/>
    <w:rsid w:val="00D932F3"/>
    <w:rsid w:val="00D941AB"/>
    <w:rsid w:val="00D9459D"/>
    <w:rsid w:val="00D961A4"/>
    <w:rsid w:val="00D974B7"/>
    <w:rsid w:val="00DA05C1"/>
    <w:rsid w:val="00DA0B32"/>
    <w:rsid w:val="00DA200B"/>
    <w:rsid w:val="00DA3AAA"/>
    <w:rsid w:val="00DA4056"/>
    <w:rsid w:val="00DA5019"/>
    <w:rsid w:val="00DA50A7"/>
    <w:rsid w:val="00DA7B48"/>
    <w:rsid w:val="00DB01B5"/>
    <w:rsid w:val="00DB0BA5"/>
    <w:rsid w:val="00DB1A72"/>
    <w:rsid w:val="00DB338E"/>
    <w:rsid w:val="00DB4006"/>
    <w:rsid w:val="00DB4778"/>
    <w:rsid w:val="00DB489B"/>
    <w:rsid w:val="00DB4A0B"/>
    <w:rsid w:val="00DB5AF4"/>
    <w:rsid w:val="00DB703A"/>
    <w:rsid w:val="00DC025E"/>
    <w:rsid w:val="00DC40F2"/>
    <w:rsid w:val="00DC4442"/>
    <w:rsid w:val="00DC7973"/>
    <w:rsid w:val="00DD0180"/>
    <w:rsid w:val="00DD0F24"/>
    <w:rsid w:val="00DD18F7"/>
    <w:rsid w:val="00DD309F"/>
    <w:rsid w:val="00DD6646"/>
    <w:rsid w:val="00DD6851"/>
    <w:rsid w:val="00DD7201"/>
    <w:rsid w:val="00DD7680"/>
    <w:rsid w:val="00DE2133"/>
    <w:rsid w:val="00DE2D01"/>
    <w:rsid w:val="00DE3F72"/>
    <w:rsid w:val="00DE460A"/>
    <w:rsid w:val="00DF11E2"/>
    <w:rsid w:val="00DF150D"/>
    <w:rsid w:val="00DF5C74"/>
    <w:rsid w:val="00E00E72"/>
    <w:rsid w:val="00E01AF9"/>
    <w:rsid w:val="00E02919"/>
    <w:rsid w:val="00E03A7A"/>
    <w:rsid w:val="00E03C22"/>
    <w:rsid w:val="00E04255"/>
    <w:rsid w:val="00E059D8"/>
    <w:rsid w:val="00E05BCA"/>
    <w:rsid w:val="00E0622F"/>
    <w:rsid w:val="00E06F22"/>
    <w:rsid w:val="00E07867"/>
    <w:rsid w:val="00E123D7"/>
    <w:rsid w:val="00E12701"/>
    <w:rsid w:val="00E1401B"/>
    <w:rsid w:val="00E14199"/>
    <w:rsid w:val="00E14D7C"/>
    <w:rsid w:val="00E1582E"/>
    <w:rsid w:val="00E15E6C"/>
    <w:rsid w:val="00E229D4"/>
    <w:rsid w:val="00E22BDA"/>
    <w:rsid w:val="00E230C0"/>
    <w:rsid w:val="00E24702"/>
    <w:rsid w:val="00E260E2"/>
    <w:rsid w:val="00E26AAD"/>
    <w:rsid w:val="00E27025"/>
    <w:rsid w:val="00E27DCD"/>
    <w:rsid w:val="00E325A7"/>
    <w:rsid w:val="00E32A5E"/>
    <w:rsid w:val="00E32C0A"/>
    <w:rsid w:val="00E330B2"/>
    <w:rsid w:val="00E33F8B"/>
    <w:rsid w:val="00E34C07"/>
    <w:rsid w:val="00E34CCA"/>
    <w:rsid w:val="00E36172"/>
    <w:rsid w:val="00E41DC6"/>
    <w:rsid w:val="00E432B6"/>
    <w:rsid w:val="00E433EB"/>
    <w:rsid w:val="00E4387D"/>
    <w:rsid w:val="00E4412C"/>
    <w:rsid w:val="00E448C0"/>
    <w:rsid w:val="00E457A7"/>
    <w:rsid w:val="00E47040"/>
    <w:rsid w:val="00E502B1"/>
    <w:rsid w:val="00E53CF5"/>
    <w:rsid w:val="00E5511D"/>
    <w:rsid w:val="00E563B1"/>
    <w:rsid w:val="00E56DFC"/>
    <w:rsid w:val="00E57F6B"/>
    <w:rsid w:val="00E60394"/>
    <w:rsid w:val="00E61299"/>
    <w:rsid w:val="00E61884"/>
    <w:rsid w:val="00E6240B"/>
    <w:rsid w:val="00E63326"/>
    <w:rsid w:val="00E64F6D"/>
    <w:rsid w:val="00E652C8"/>
    <w:rsid w:val="00E65988"/>
    <w:rsid w:val="00E66754"/>
    <w:rsid w:val="00E67E78"/>
    <w:rsid w:val="00E70A73"/>
    <w:rsid w:val="00E73FAD"/>
    <w:rsid w:val="00E741D0"/>
    <w:rsid w:val="00E74560"/>
    <w:rsid w:val="00E756D5"/>
    <w:rsid w:val="00E80F35"/>
    <w:rsid w:val="00E84387"/>
    <w:rsid w:val="00E8601B"/>
    <w:rsid w:val="00E86F93"/>
    <w:rsid w:val="00E8785E"/>
    <w:rsid w:val="00E9033E"/>
    <w:rsid w:val="00E92432"/>
    <w:rsid w:val="00E928AE"/>
    <w:rsid w:val="00E934EE"/>
    <w:rsid w:val="00E94DA2"/>
    <w:rsid w:val="00E95166"/>
    <w:rsid w:val="00E95D30"/>
    <w:rsid w:val="00E95F05"/>
    <w:rsid w:val="00E97F04"/>
    <w:rsid w:val="00EA21F8"/>
    <w:rsid w:val="00EA2742"/>
    <w:rsid w:val="00EA3307"/>
    <w:rsid w:val="00EA3547"/>
    <w:rsid w:val="00EA38EC"/>
    <w:rsid w:val="00EA3AEF"/>
    <w:rsid w:val="00EA4E5D"/>
    <w:rsid w:val="00EA618A"/>
    <w:rsid w:val="00EA6FD7"/>
    <w:rsid w:val="00EA781D"/>
    <w:rsid w:val="00EA78D0"/>
    <w:rsid w:val="00EB024C"/>
    <w:rsid w:val="00EB03F8"/>
    <w:rsid w:val="00EB417F"/>
    <w:rsid w:val="00EB46C6"/>
    <w:rsid w:val="00EB529C"/>
    <w:rsid w:val="00EB5B8D"/>
    <w:rsid w:val="00EB64DE"/>
    <w:rsid w:val="00EB6694"/>
    <w:rsid w:val="00EB6695"/>
    <w:rsid w:val="00EC091E"/>
    <w:rsid w:val="00EC1BD6"/>
    <w:rsid w:val="00EC5C48"/>
    <w:rsid w:val="00EC6F64"/>
    <w:rsid w:val="00ED16E8"/>
    <w:rsid w:val="00ED3098"/>
    <w:rsid w:val="00ED30E7"/>
    <w:rsid w:val="00ED34F9"/>
    <w:rsid w:val="00ED3A37"/>
    <w:rsid w:val="00ED3E9A"/>
    <w:rsid w:val="00ED76F1"/>
    <w:rsid w:val="00EE0108"/>
    <w:rsid w:val="00EE0178"/>
    <w:rsid w:val="00EE0E76"/>
    <w:rsid w:val="00EE10E5"/>
    <w:rsid w:val="00EE1561"/>
    <w:rsid w:val="00EE2D70"/>
    <w:rsid w:val="00EE2F69"/>
    <w:rsid w:val="00EE3CA0"/>
    <w:rsid w:val="00EE641D"/>
    <w:rsid w:val="00EE66B7"/>
    <w:rsid w:val="00EE6A96"/>
    <w:rsid w:val="00EF00C5"/>
    <w:rsid w:val="00EF1207"/>
    <w:rsid w:val="00EF1507"/>
    <w:rsid w:val="00EF1EE9"/>
    <w:rsid w:val="00EF28DA"/>
    <w:rsid w:val="00EF3E21"/>
    <w:rsid w:val="00EF3FF1"/>
    <w:rsid w:val="00EF4B07"/>
    <w:rsid w:val="00EF5808"/>
    <w:rsid w:val="00EF65E6"/>
    <w:rsid w:val="00EF6A10"/>
    <w:rsid w:val="00EF7B89"/>
    <w:rsid w:val="00F0012E"/>
    <w:rsid w:val="00F01174"/>
    <w:rsid w:val="00F01B52"/>
    <w:rsid w:val="00F023DD"/>
    <w:rsid w:val="00F02B10"/>
    <w:rsid w:val="00F02C13"/>
    <w:rsid w:val="00F03540"/>
    <w:rsid w:val="00F0389E"/>
    <w:rsid w:val="00F03C58"/>
    <w:rsid w:val="00F04219"/>
    <w:rsid w:val="00F0611E"/>
    <w:rsid w:val="00F0686D"/>
    <w:rsid w:val="00F06B1C"/>
    <w:rsid w:val="00F1189C"/>
    <w:rsid w:val="00F11A18"/>
    <w:rsid w:val="00F139A0"/>
    <w:rsid w:val="00F14270"/>
    <w:rsid w:val="00F14EAC"/>
    <w:rsid w:val="00F15217"/>
    <w:rsid w:val="00F15DBB"/>
    <w:rsid w:val="00F17678"/>
    <w:rsid w:val="00F21A4E"/>
    <w:rsid w:val="00F21A60"/>
    <w:rsid w:val="00F22673"/>
    <w:rsid w:val="00F2610D"/>
    <w:rsid w:val="00F308AB"/>
    <w:rsid w:val="00F30FD4"/>
    <w:rsid w:val="00F31072"/>
    <w:rsid w:val="00F3188C"/>
    <w:rsid w:val="00F32ED9"/>
    <w:rsid w:val="00F330AE"/>
    <w:rsid w:val="00F33D30"/>
    <w:rsid w:val="00F34102"/>
    <w:rsid w:val="00F346F7"/>
    <w:rsid w:val="00F35774"/>
    <w:rsid w:val="00F359B1"/>
    <w:rsid w:val="00F3678E"/>
    <w:rsid w:val="00F370F1"/>
    <w:rsid w:val="00F4034C"/>
    <w:rsid w:val="00F4051F"/>
    <w:rsid w:val="00F4198A"/>
    <w:rsid w:val="00F427DF"/>
    <w:rsid w:val="00F434BA"/>
    <w:rsid w:val="00F4352B"/>
    <w:rsid w:val="00F43E86"/>
    <w:rsid w:val="00F440DD"/>
    <w:rsid w:val="00F46563"/>
    <w:rsid w:val="00F46CCF"/>
    <w:rsid w:val="00F4709A"/>
    <w:rsid w:val="00F478FE"/>
    <w:rsid w:val="00F500E6"/>
    <w:rsid w:val="00F507E3"/>
    <w:rsid w:val="00F508A8"/>
    <w:rsid w:val="00F51FB6"/>
    <w:rsid w:val="00F52412"/>
    <w:rsid w:val="00F54810"/>
    <w:rsid w:val="00F54B4C"/>
    <w:rsid w:val="00F54E6F"/>
    <w:rsid w:val="00F5506B"/>
    <w:rsid w:val="00F55AF4"/>
    <w:rsid w:val="00F56233"/>
    <w:rsid w:val="00F56591"/>
    <w:rsid w:val="00F56652"/>
    <w:rsid w:val="00F576B6"/>
    <w:rsid w:val="00F57933"/>
    <w:rsid w:val="00F579BF"/>
    <w:rsid w:val="00F57B6A"/>
    <w:rsid w:val="00F57F2A"/>
    <w:rsid w:val="00F60108"/>
    <w:rsid w:val="00F6103A"/>
    <w:rsid w:val="00F64E88"/>
    <w:rsid w:val="00F651E6"/>
    <w:rsid w:val="00F7036A"/>
    <w:rsid w:val="00F7242D"/>
    <w:rsid w:val="00F7267C"/>
    <w:rsid w:val="00F72AD2"/>
    <w:rsid w:val="00F72DCA"/>
    <w:rsid w:val="00F74A50"/>
    <w:rsid w:val="00F76697"/>
    <w:rsid w:val="00F80EE5"/>
    <w:rsid w:val="00F8170E"/>
    <w:rsid w:val="00F82719"/>
    <w:rsid w:val="00F82D93"/>
    <w:rsid w:val="00F839E3"/>
    <w:rsid w:val="00F84F68"/>
    <w:rsid w:val="00F850B3"/>
    <w:rsid w:val="00F86B68"/>
    <w:rsid w:val="00F86E4F"/>
    <w:rsid w:val="00F876CC"/>
    <w:rsid w:val="00F904A7"/>
    <w:rsid w:val="00F9106E"/>
    <w:rsid w:val="00F9176A"/>
    <w:rsid w:val="00F926DB"/>
    <w:rsid w:val="00F929F2"/>
    <w:rsid w:val="00F92B5B"/>
    <w:rsid w:val="00F94CFD"/>
    <w:rsid w:val="00F95F21"/>
    <w:rsid w:val="00F96189"/>
    <w:rsid w:val="00F96E46"/>
    <w:rsid w:val="00F9734A"/>
    <w:rsid w:val="00FA0704"/>
    <w:rsid w:val="00FA0882"/>
    <w:rsid w:val="00FA0F7B"/>
    <w:rsid w:val="00FA161C"/>
    <w:rsid w:val="00FA1BC2"/>
    <w:rsid w:val="00FA3DA3"/>
    <w:rsid w:val="00FA3FCA"/>
    <w:rsid w:val="00FA4CC1"/>
    <w:rsid w:val="00FA57CA"/>
    <w:rsid w:val="00FA667E"/>
    <w:rsid w:val="00FB0088"/>
    <w:rsid w:val="00FB0694"/>
    <w:rsid w:val="00FB0760"/>
    <w:rsid w:val="00FB393D"/>
    <w:rsid w:val="00FB4298"/>
    <w:rsid w:val="00FB56C7"/>
    <w:rsid w:val="00FB5E1B"/>
    <w:rsid w:val="00FB66FE"/>
    <w:rsid w:val="00FB7CDF"/>
    <w:rsid w:val="00FC0F68"/>
    <w:rsid w:val="00FC3450"/>
    <w:rsid w:val="00FC3BD7"/>
    <w:rsid w:val="00FC3D6E"/>
    <w:rsid w:val="00FC3EC7"/>
    <w:rsid w:val="00FC3EE9"/>
    <w:rsid w:val="00FC42DF"/>
    <w:rsid w:val="00FD06F1"/>
    <w:rsid w:val="00FD093E"/>
    <w:rsid w:val="00FD131D"/>
    <w:rsid w:val="00FD1BFD"/>
    <w:rsid w:val="00FD450E"/>
    <w:rsid w:val="00FD6FFE"/>
    <w:rsid w:val="00FD7A5C"/>
    <w:rsid w:val="00FE0D65"/>
    <w:rsid w:val="00FE14E6"/>
    <w:rsid w:val="00FE1F18"/>
    <w:rsid w:val="00FE2B53"/>
    <w:rsid w:val="00FE320B"/>
    <w:rsid w:val="00FE3399"/>
    <w:rsid w:val="00FE36AF"/>
    <w:rsid w:val="00FE387A"/>
    <w:rsid w:val="00FE4966"/>
    <w:rsid w:val="00FE5C5E"/>
    <w:rsid w:val="00FE60EB"/>
    <w:rsid w:val="00FE7927"/>
    <w:rsid w:val="00FE7F18"/>
    <w:rsid w:val="00FF0DAA"/>
    <w:rsid w:val="00FF3E76"/>
    <w:rsid w:val="00FF54A2"/>
    <w:rsid w:val="00FF7590"/>
    <w:rsid w:val="00FF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96174D4"/>
  <w15:docId w15:val="{CC0DDFD3-BF22-4B15-8C64-0692A1CE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7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C31"/>
    <w:pPr>
      <w:ind w:left="720"/>
      <w:contextualSpacing/>
    </w:pPr>
  </w:style>
  <w:style w:type="paragraph" w:styleId="BalloonText">
    <w:name w:val="Balloon Text"/>
    <w:basedOn w:val="Normal"/>
    <w:link w:val="BalloonTextChar"/>
    <w:uiPriority w:val="99"/>
    <w:semiHidden/>
    <w:unhideWhenUsed/>
    <w:rsid w:val="00FE2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B53"/>
    <w:rPr>
      <w:rFonts w:ascii="Tahoma" w:hAnsi="Tahoma" w:cs="Tahoma"/>
      <w:sz w:val="16"/>
      <w:szCs w:val="16"/>
    </w:rPr>
  </w:style>
  <w:style w:type="paragraph" w:styleId="Header">
    <w:name w:val="header"/>
    <w:basedOn w:val="Normal"/>
    <w:link w:val="HeaderChar"/>
    <w:uiPriority w:val="99"/>
    <w:unhideWhenUsed/>
    <w:rsid w:val="004D5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236"/>
  </w:style>
  <w:style w:type="paragraph" w:styleId="Footer">
    <w:name w:val="footer"/>
    <w:basedOn w:val="Normal"/>
    <w:link w:val="FooterChar"/>
    <w:unhideWhenUsed/>
    <w:rsid w:val="004D52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5236"/>
  </w:style>
  <w:style w:type="paragraph" w:customStyle="1" w:styleId="Default">
    <w:name w:val="Default"/>
    <w:rsid w:val="001A079A"/>
    <w:pPr>
      <w:autoSpaceDE w:val="0"/>
      <w:autoSpaceDN w:val="0"/>
      <w:adjustRightInd w:val="0"/>
      <w:spacing w:after="0" w:line="240" w:lineRule="auto"/>
    </w:pPr>
    <w:rPr>
      <w:rFonts w:ascii="Times New Roman" w:hAnsi="Times New Roman" w:cs="Times New Roman"/>
      <w:color w:val="000000"/>
      <w:sz w:val="24"/>
      <w:szCs w:val="24"/>
    </w:rPr>
  </w:style>
  <w:style w:type="character" w:styleId="IntenseReference">
    <w:name w:val="Intense Reference"/>
    <w:basedOn w:val="DefaultParagraphFont"/>
    <w:uiPriority w:val="32"/>
    <w:qFormat/>
    <w:rsid w:val="000975A4"/>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2433">
      <w:bodyDiv w:val="1"/>
      <w:marLeft w:val="0"/>
      <w:marRight w:val="0"/>
      <w:marTop w:val="0"/>
      <w:marBottom w:val="0"/>
      <w:divBdr>
        <w:top w:val="none" w:sz="0" w:space="0" w:color="auto"/>
        <w:left w:val="none" w:sz="0" w:space="0" w:color="auto"/>
        <w:bottom w:val="none" w:sz="0" w:space="0" w:color="auto"/>
        <w:right w:val="none" w:sz="0" w:space="0" w:color="auto"/>
      </w:divBdr>
    </w:div>
    <w:div w:id="47415136">
      <w:bodyDiv w:val="1"/>
      <w:marLeft w:val="0"/>
      <w:marRight w:val="0"/>
      <w:marTop w:val="0"/>
      <w:marBottom w:val="0"/>
      <w:divBdr>
        <w:top w:val="none" w:sz="0" w:space="0" w:color="auto"/>
        <w:left w:val="none" w:sz="0" w:space="0" w:color="auto"/>
        <w:bottom w:val="none" w:sz="0" w:space="0" w:color="auto"/>
        <w:right w:val="none" w:sz="0" w:space="0" w:color="auto"/>
      </w:divBdr>
    </w:div>
    <w:div w:id="119303157">
      <w:bodyDiv w:val="1"/>
      <w:marLeft w:val="0"/>
      <w:marRight w:val="0"/>
      <w:marTop w:val="0"/>
      <w:marBottom w:val="0"/>
      <w:divBdr>
        <w:top w:val="none" w:sz="0" w:space="0" w:color="auto"/>
        <w:left w:val="none" w:sz="0" w:space="0" w:color="auto"/>
        <w:bottom w:val="none" w:sz="0" w:space="0" w:color="auto"/>
        <w:right w:val="none" w:sz="0" w:space="0" w:color="auto"/>
      </w:divBdr>
    </w:div>
    <w:div w:id="325130490">
      <w:bodyDiv w:val="1"/>
      <w:marLeft w:val="0"/>
      <w:marRight w:val="0"/>
      <w:marTop w:val="0"/>
      <w:marBottom w:val="0"/>
      <w:divBdr>
        <w:top w:val="none" w:sz="0" w:space="0" w:color="auto"/>
        <w:left w:val="none" w:sz="0" w:space="0" w:color="auto"/>
        <w:bottom w:val="none" w:sz="0" w:space="0" w:color="auto"/>
        <w:right w:val="none" w:sz="0" w:space="0" w:color="auto"/>
      </w:divBdr>
    </w:div>
    <w:div w:id="1115639082">
      <w:bodyDiv w:val="1"/>
      <w:marLeft w:val="0"/>
      <w:marRight w:val="0"/>
      <w:marTop w:val="0"/>
      <w:marBottom w:val="0"/>
      <w:divBdr>
        <w:top w:val="none" w:sz="0" w:space="0" w:color="auto"/>
        <w:left w:val="none" w:sz="0" w:space="0" w:color="auto"/>
        <w:bottom w:val="none" w:sz="0" w:space="0" w:color="auto"/>
        <w:right w:val="none" w:sz="0" w:space="0" w:color="auto"/>
      </w:divBdr>
    </w:div>
    <w:div w:id="1656760253">
      <w:bodyDiv w:val="1"/>
      <w:marLeft w:val="0"/>
      <w:marRight w:val="0"/>
      <w:marTop w:val="0"/>
      <w:marBottom w:val="0"/>
      <w:divBdr>
        <w:top w:val="none" w:sz="0" w:space="0" w:color="auto"/>
        <w:left w:val="none" w:sz="0" w:space="0" w:color="auto"/>
        <w:bottom w:val="none" w:sz="0" w:space="0" w:color="auto"/>
        <w:right w:val="none" w:sz="0" w:space="0" w:color="auto"/>
      </w:divBdr>
    </w:div>
    <w:div w:id="1713117756">
      <w:bodyDiv w:val="1"/>
      <w:marLeft w:val="0"/>
      <w:marRight w:val="0"/>
      <w:marTop w:val="0"/>
      <w:marBottom w:val="0"/>
      <w:divBdr>
        <w:top w:val="none" w:sz="0" w:space="0" w:color="auto"/>
        <w:left w:val="none" w:sz="0" w:space="0" w:color="auto"/>
        <w:bottom w:val="none" w:sz="0" w:space="0" w:color="auto"/>
        <w:right w:val="none" w:sz="0" w:space="0" w:color="auto"/>
      </w:divBdr>
    </w:div>
    <w:div w:id="1878738878">
      <w:bodyDiv w:val="1"/>
      <w:marLeft w:val="0"/>
      <w:marRight w:val="0"/>
      <w:marTop w:val="0"/>
      <w:marBottom w:val="0"/>
      <w:divBdr>
        <w:top w:val="none" w:sz="0" w:space="0" w:color="auto"/>
        <w:left w:val="none" w:sz="0" w:space="0" w:color="auto"/>
        <w:bottom w:val="none" w:sz="0" w:space="0" w:color="auto"/>
        <w:right w:val="none" w:sz="0" w:space="0" w:color="auto"/>
      </w:divBdr>
    </w:div>
    <w:div w:id="2083336294">
      <w:bodyDiv w:val="1"/>
      <w:marLeft w:val="0"/>
      <w:marRight w:val="0"/>
      <w:marTop w:val="0"/>
      <w:marBottom w:val="0"/>
      <w:divBdr>
        <w:top w:val="none" w:sz="0" w:space="0" w:color="auto"/>
        <w:left w:val="none" w:sz="0" w:space="0" w:color="auto"/>
        <w:bottom w:val="none" w:sz="0" w:space="0" w:color="auto"/>
        <w:right w:val="none" w:sz="0" w:space="0" w:color="auto"/>
      </w:divBdr>
      <w:divsChild>
        <w:div w:id="1049064332">
          <w:marLeft w:val="0"/>
          <w:marRight w:val="0"/>
          <w:marTop w:val="0"/>
          <w:marBottom w:val="0"/>
          <w:divBdr>
            <w:top w:val="none" w:sz="0" w:space="0" w:color="auto"/>
            <w:left w:val="none" w:sz="0" w:space="0" w:color="auto"/>
            <w:bottom w:val="none" w:sz="0" w:space="0" w:color="auto"/>
            <w:right w:val="none" w:sz="0" w:space="0" w:color="auto"/>
          </w:divBdr>
        </w:div>
        <w:div w:id="1431900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72F6-722C-4B66-AE48-D1671A43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2920</TotalTime>
  <Pages>8</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Lanyon</dc:creator>
  <cp:keywords/>
  <dc:description/>
  <cp:lastModifiedBy>Mark Lanyon</cp:lastModifiedBy>
  <cp:revision>38</cp:revision>
  <cp:lastPrinted>2025-04-11T19:46:00Z</cp:lastPrinted>
  <dcterms:created xsi:type="dcterms:W3CDTF">2025-04-07T20:11:00Z</dcterms:created>
  <dcterms:modified xsi:type="dcterms:W3CDTF">2025-07-11T14:00:00Z</dcterms:modified>
</cp:coreProperties>
</file>