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C9BD" w14:textId="12561D6E" w:rsidR="004D5236" w:rsidRPr="004D5236" w:rsidRDefault="004D5236" w:rsidP="001C7F4D">
      <w:pPr>
        <w:spacing w:after="0" w:line="240" w:lineRule="auto"/>
        <w:rPr>
          <w:rFonts w:ascii="Times New Roman" w:hAnsi="Times New Roman" w:cs="Times New Roman"/>
          <w:sz w:val="20"/>
          <w:szCs w:val="20"/>
        </w:rPr>
      </w:pPr>
    </w:p>
    <w:p w14:paraId="64850690" w14:textId="7BA08103" w:rsidR="001C7F4D" w:rsidRPr="00500889" w:rsidRDefault="005E3645" w:rsidP="00652E75">
      <w:pPr>
        <w:spacing w:after="0" w:line="240" w:lineRule="auto"/>
        <w:jc w:val="right"/>
        <w:rPr>
          <w:rFonts w:ascii="Times New Roman" w:hAnsi="Times New Roman" w:cs="Times New Roman"/>
        </w:rPr>
      </w:pPr>
      <w:bookmarkStart w:id="0" w:name="_Hlk195272957"/>
      <w:r>
        <w:rPr>
          <w:rFonts w:ascii="Times New Roman" w:hAnsi="Times New Roman" w:cs="Times New Roman"/>
        </w:rPr>
        <w:t>October</w:t>
      </w:r>
      <w:r w:rsidR="00652E75">
        <w:rPr>
          <w:rFonts w:ascii="Times New Roman" w:hAnsi="Times New Roman" w:cs="Times New Roman"/>
        </w:rPr>
        <w:t xml:space="preserve"> 202</w:t>
      </w:r>
      <w:r w:rsidR="00D40FAB">
        <w:rPr>
          <w:rFonts w:ascii="Times New Roman" w:hAnsi="Times New Roman" w:cs="Times New Roman"/>
        </w:rPr>
        <w:t>5</w:t>
      </w:r>
    </w:p>
    <w:p w14:paraId="5E59B746" w14:textId="53D57120" w:rsidR="004D5236" w:rsidRDefault="004D5236" w:rsidP="001C7F4D">
      <w:pPr>
        <w:spacing w:after="0" w:line="240" w:lineRule="auto"/>
        <w:rPr>
          <w:rFonts w:ascii="Times New Roman" w:hAnsi="Times New Roman" w:cs="Times New Roman"/>
        </w:rPr>
      </w:pPr>
    </w:p>
    <w:p w14:paraId="32948CF7" w14:textId="4CAFA85F" w:rsidR="00F370F1" w:rsidRDefault="00A70890" w:rsidP="001C7F4D">
      <w:pPr>
        <w:spacing w:after="0" w:line="240" w:lineRule="auto"/>
        <w:rPr>
          <w:rFonts w:ascii="Times New Roman" w:hAnsi="Times New Roman" w:cs="Times New Roman"/>
        </w:rPr>
      </w:pPr>
      <w:r w:rsidRPr="0047153C">
        <w:rPr>
          <w:rFonts w:ascii="Times New Roman" w:hAnsi="Times New Roman" w:cs="Times New Roman"/>
        </w:rPr>
        <w:t xml:space="preserve">Dear </w:t>
      </w:r>
      <w:r w:rsidR="00F330AE" w:rsidRPr="0047153C">
        <w:rPr>
          <w:rFonts w:ascii="Times New Roman" w:hAnsi="Times New Roman" w:cs="Times New Roman"/>
        </w:rPr>
        <w:t>Turtle Creek Client</w:t>
      </w:r>
      <w:r w:rsidR="00CB780E" w:rsidRPr="0047153C">
        <w:rPr>
          <w:rFonts w:ascii="Times New Roman" w:hAnsi="Times New Roman" w:cs="Times New Roman"/>
        </w:rPr>
        <w:t xml:space="preserve">, </w:t>
      </w:r>
    </w:p>
    <w:p w14:paraId="5AE86E0F" w14:textId="77777777" w:rsidR="006946E8" w:rsidRDefault="006946E8" w:rsidP="001C7F4D">
      <w:pPr>
        <w:spacing w:after="0" w:line="240" w:lineRule="auto"/>
        <w:rPr>
          <w:rFonts w:ascii="Times New Roman" w:hAnsi="Times New Roman" w:cs="Times New Roman"/>
        </w:rPr>
      </w:pPr>
    </w:p>
    <w:p w14:paraId="1BE197C5" w14:textId="49135F64" w:rsidR="006F2C01" w:rsidRDefault="0031569E" w:rsidP="001C7F4D">
      <w:pPr>
        <w:spacing w:after="0" w:line="240" w:lineRule="auto"/>
        <w:rPr>
          <w:rFonts w:ascii="Times New Roman" w:hAnsi="Times New Roman" w:cs="Times New Roman"/>
        </w:rPr>
      </w:pPr>
      <w:r>
        <w:rPr>
          <w:rFonts w:ascii="Times New Roman" w:hAnsi="Times New Roman" w:cs="Times New Roman"/>
        </w:rPr>
        <w:t xml:space="preserve">Global markets </w:t>
      </w:r>
      <w:r w:rsidR="00AF50A5">
        <w:rPr>
          <w:rFonts w:ascii="Times New Roman" w:hAnsi="Times New Roman" w:cs="Times New Roman"/>
        </w:rPr>
        <w:t>pushe</w:t>
      </w:r>
      <w:r w:rsidR="00115038">
        <w:rPr>
          <w:rFonts w:ascii="Times New Roman" w:hAnsi="Times New Roman" w:cs="Times New Roman"/>
        </w:rPr>
        <w:t>d</w:t>
      </w:r>
      <w:r>
        <w:rPr>
          <w:rFonts w:ascii="Times New Roman" w:hAnsi="Times New Roman" w:cs="Times New Roman"/>
        </w:rPr>
        <w:t xml:space="preserve"> higher through the third quarter, with both </w:t>
      </w:r>
      <w:r w:rsidR="003A5357">
        <w:rPr>
          <w:rFonts w:ascii="Times New Roman" w:hAnsi="Times New Roman" w:cs="Times New Roman"/>
        </w:rPr>
        <w:t xml:space="preserve">domestic and </w:t>
      </w:r>
      <w:r>
        <w:rPr>
          <w:rFonts w:ascii="Times New Roman" w:hAnsi="Times New Roman" w:cs="Times New Roman"/>
        </w:rPr>
        <w:t>international stock indices building on year</w:t>
      </w:r>
      <w:r w:rsidR="00DE7AC9">
        <w:rPr>
          <w:rFonts w:ascii="Times New Roman" w:hAnsi="Times New Roman" w:cs="Times New Roman"/>
        </w:rPr>
        <w:t>-</w:t>
      </w:r>
      <w:r>
        <w:rPr>
          <w:rFonts w:ascii="Times New Roman" w:hAnsi="Times New Roman" w:cs="Times New Roman"/>
        </w:rPr>
        <w:t>to</w:t>
      </w:r>
      <w:r w:rsidR="00DE7AC9">
        <w:rPr>
          <w:rFonts w:ascii="Times New Roman" w:hAnsi="Times New Roman" w:cs="Times New Roman"/>
        </w:rPr>
        <w:t>-</w:t>
      </w:r>
      <w:r>
        <w:rPr>
          <w:rFonts w:ascii="Times New Roman" w:hAnsi="Times New Roman" w:cs="Times New Roman"/>
        </w:rPr>
        <w:t xml:space="preserve">date gains and </w:t>
      </w:r>
      <w:r w:rsidR="00DE7AC9">
        <w:rPr>
          <w:rFonts w:ascii="Times New Roman" w:hAnsi="Times New Roman" w:cs="Times New Roman"/>
        </w:rPr>
        <w:t xml:space="preserve">bond markets posting strong total returns </w:t>
      </w:r>
      <w:r w:rsidR="00BC3B34">
        <w:rPr>
          <w:rFonts w:ascii="Times New Roman" w:hAnsi="Times New Roman" w:cs="Times New Roman"/>
        </w:rPr>
        <w:t>due to declining</w:t>
      </w:r>
      <w:r w:rsidR="00DE7AC9">
        <w:rPr>
          <w:rFonts w:ascii="Times New Roman" w:hAnsi="Times New Roman" w:cs="Times New Roman"/>
        </w:rPr>
        <w:t xml:space="preserve"> short and intermediate-term yields. The Artificial Intelligence </w:t>
      </w:r>
      <w:r w:rsidR="00372CCF">
        <w:rPr>
          <w:rFonts w:ascii="Times New Roman" w:hAnsi="Times New Roman" w:cs="Times New Roman"/>
        </w:rPr>
        <w:t xml:space="preserve">trade </w:t>
      </w:r>
      <w:r w:rsidR="005966FF">
        <w:rPr>
          <w:rFonts w:ascii="Times New Roman" w:hAnsi="Times New Roman" w:cs="Times New Roman"/>
        </w:rPr>
        <w:t>maintained its torrid pace</w:t>
      </w:r>
      <w:r w:rsidR="00DE7AC9">
        <w:rPr>
          <w:rFonts w:ascii="Times New Roman" w:hAnsi="Times New Roman" w:cs="Times New Roman"/>
        </w:rPr>
        <w:t xml:space="preserve">, with </w:t>
      </w:r>
      <w:r w:rsidR="005315AD">
        <w:rPr>
          <w:rFonts w:ascii="Times New Roman" w:hAnsi="Times New Roman" w:cs="Times New Roman"/>
        </w:rPr>
        <w:t>headline</w:t>
      </w:r>
      <w:r w:rsidR="00F64B0A">
        <w:rPr>
          <w:rFonts w:ascii="Times New Roman" w:hAnsi="Times New Roman" w:cs="Times New Roman"/>
        </w:rPr>
        <w:t>-</w:t>
      </w:r>
      <w:r w:rsidR="005315AD">
        <w:rPr>
          <w:rFonts w:ascii="Times New Roman" w:hAnsi="Times New Roman" w:cs="Times New Roman"/>
        </w:rPr>
        <w:t xml:space="preserve">grabbing </w:t>
      </w:r>
      <w:r w:rsidR="00372CCF">
        <w:rPr>
          <w:rFonts w:ascii="Times New Roman" w:hAnsi="Times New Roman" w:cs="Times New Roman"/>
        </w:rPr>
        <w:t xml:space="preserve">AI infrastructure announcements </w:t>
      </w:r>
      <w:r w:rsidR="00115038">
        <w:rPr>
          <w:rFonts w:ascii="Times New Roman" w:hAnsi="Times New Roman" w:cs="Times New Roman"/>
        </w:rPr>
        <w:t>from leading technology firms driving Artificial Intelligence stocks higher across the board</w:t>
      </w:r>
      <w:r w:rsidR="00372CCF">
        <w:rPr>
          <w:rFonts w:ascii="Times New Roman" w:hAnsi="Times New Roman" w:cs="Times New Roman"/>
        </w:rPr>
        <w:t xml:space="preserve">. Small company indexes also participated in the rally, reversing </w:t>
      </w:r>
      <w:r w:rsidR="006F2C01">
        <w:rPr>
          <w:rFonts w:ascii="Times New Roman" w:hAnsi="Times New Roman" w:cs="Times New Roman"/>
        </w:rPr>
        <w:t>a five-quarter streak of underperforming their large</w:t>
      </w:r>
      <w:r w:rsidR="005966FF">
        <w:rPr>
          <w:rFonts w:ascii="Times New Roman" w:hAnsi="Times New Roman" w:cs="Times New Roman"/>
        </w:rPr>
        <w:t>-</w:t>
      </w:r>
      <w:r w:rsidR="006F2C01">
        <w:rPr>
          <w:rFonts w:ascii="Times New Roman" w:hAnsi="Times New Roman" w:cs="Times New Roman"/>
        </w:rPr>
        <w:t xml:space="preserve">cap stock peers. </w:t>
      </w:r>
    </w:p>
    <w:p w14:paraId="5786FAE4" w14:textId="77777777" w:rsidR="006F2C01" w:rsidRDefault="006F2C01" w:rsidP="001C7F4D">
      <w:pPr>
        <w:spacing w:after="0" w:line="240" w:lineRule="auto"/>
        <w:rPr>
          <w:rFonts w:ascii="Times New Roman" w:hAnsi="Times New Roman" w:cs="Times New Roman"/>
        </w:rPr>
      </w:pPr>
    </w:p>
    <w:p w14:paraId="722BF063" w14:textId="5780245A" w:rsidR="00372CCF" w:rsidRDefault="006F2C01" w:rsidP="001C7F4D">
      <w:pPr>
        <w:spacing w:after="0" w:line="240" w:lineRule="auto"/>
        <w:rPr>
          <w:rFonts w:ascii="Times New Roman" w:hAnsi="Times New Roman" w:cs="Times New Roman"/>
        </w:rPr>
      </w:pPr>
      <w:r>
        <w:rPr>
          <w:rFonts w:ascii="Times New Roman" w:hAnsi="Times New Roman" w:cs="Times New Roman"/>
        </w:rPr>
        <w:t xml:space="preserve">This </w:t>
      </w:r>
      <w:r w:rsidR="00115038">
        <w:rPr>
          <w:rFonts w:ascii="Times New Roman" w:hAnsi="Times New Roman" w:cs="Times New Roman"/>
        </w:rPr>
        <w:t xml:space="preserve">broad </w:t>
      </w:r>
      <w:r>
        <w:rPr>
          <w:rFonts w:ascii="Times New Roman" w:hAnsi="Times New Roman" w:cs="Times New Roman"/>
        </w:rPr>
        <w:t>surge in asset prices took place amidst an increasingly complex global economic backdrop. Economic indicators</w:t>
      </w:r>
      <w:r w:rsidR="00D11772">
        <w:rPr>
          <w:rFonts w:ascii="Times New Roman" w:hAnsi="Times New Roman" w:cs="Times New Roman"/>
        </w:rPr>
        <w:t xml:space="preserve"> </w:t>
      </w:r>
      <w:r w:rsidR="00BC3B34">
        <w:rPr>
          <w:rFonts w:ascii="Times New Roman" w:hAnsi="Times New Roman" w:cs="Times New Roman"/>
        </w:rPr>
        <w:t xml:space="preserve">in the U.S. were in general mixed but </w:t>
      </w:r>
      <w:r w:rsidR="00505E8F">
        <w:rPr>
          <w:rFonts w:ascii="Times New Roman" w:hAnsi="Times New Roman" w:cs="Times New Roman"/>
        </w:rPr>
        <w:t xml:space="preserve">showed further strain as inflation accelerated, hiring slowed, and manufacturing and service </w:t>
      </w:r>
      <w:r w:rsidR="00BC3B34">
        <w:rPr>
          <w:rFonts w:ascii="Times New Roman" w:hAnsi="Times New Roman" w:cs="Times New Roman"/>
        </w:rPr>
        <w:t xml:space="preserve">reports </w:t>
      </w:r>
      <w:r w:rsidR="00505E8F">
        <w:rPr>
          <w:rFonts w:ascii="Times New Roman" w:hAnsi="Times New Roman" w:cs="Times New Roman"/>
        </w:rPr>
        <w:t xml:space="preserve">missed estimates. </w:t>
      </w:r>
      <w:r w:rsidR="003D7CF6">
        <w:rPr>
          <w:rFonts w:ascii="Times New Roman" w:hAnsi="Times New Roman" w:cs="Times New Roman"/>
        </w:rPr>
        <w:t xml:space="preserve">Sovereign debt yields spiked in France and the United Kingdom due to worsening deficits and political upheaval. The once impregnable U.S. Dollar continued </w:t>
      </w:r>
      <w:r w:rsidR="00673702">
        <w:rPr>
          <w:rFonts w:ascii="Times New Roman" w:hAnsi="Times New Roman" w:cs="Times New Roman"/>
        </w:rPr>
        <w:t xml:space="preserve">its historic fall against </w:t>
      </w:r>
      <w:r w:rsidR="003D7CF6">
        <w:rPr>
          <w:rFonts w:ascii="Times New Roman" w:hAnsi="Times New Roman" w:cs="Times New Roman"/>
        </w:rPr>
        <w:t>other major currencies</w:t>
      </w:r>
      <w:r w:rsidR="00BC3B34">
        <w:rPr>
          <w:rFonts w:ascii="Times New Roman" w:hAnsi="Times New Roman" w:cs="Times New Roman"/>
        </w:rPr>
        <w:t xml:space="preserve">, reflecting </w:t>
      </w:r>
      <w:r w:rsidR="003D7CF6">
        <w:rPr>
          <w:rFonts w:ascii="Times New Roman" w:hAnsi="Times New Roman" w:cs="Times New Roman"/>
        </w:rPr>
        <w:t xml:space="preserve">the fiscal strain of the recent congressional </w:t>
      </w:r>
      <w:r w:rsidR="00673702">
        <w:rPr>
          <w:rFonts w:ascii="Times New Roman" w:hAnsi="Times New Roman" w:cs="Times New Roman"/>
        </w:rPr>
        <w:t>budget and fallout from the Trump administration</w:t>
      </w:r>
      <w:r w:rsidR="00BC3B34">
        <w:rPr>
          <w:rFonts w:ascii="Times New Roman" w:hAnsi="Times New Roman" w:cs="Times New Roman"/>
        </w:rPr>
        <w:t>’</w:t>
      </w:r>
      <w:r w:rsidR="00673702">
        <w:rPr>
          <w:rFonts w:ascii="Times New Roman" w:hAnsi="Times New Roman" w:cs="Times New Roman"/>
        </w:rPr>
        <w:t>s ongoing trade war</w:t>
      </w:r>
      <w:r w:rsidR="003D7CF6">
        <w:rPr>
          <w:rFonts w:ascii="Times New Roman" w:hAnsi="Times New Roman" w:cs="Times New Roman"/>
        </w:rPr>
        <w:t xml:space="preserve">. </w:t>
      </w:r>
      <w:r w:rsidR="00BC3B34">
        <w:rPr>
          <w:rFonts w:ascii="Times New Roman" w:hAnsi="Times New Roman" w:cs="Times New Roman"/>
        </w:rPr>
        <w:t>Market analysts dubbed this</w:t>
      </w:r>
      <w:r w:rsidR="00673702">
        <w:rPr>
          <w:rFonts w:ascii="Times New Roman" w:hAnsi="Times New Roman" w:cs="Times New Roman"/>
        </w:rPr>
        <w:t xml:space="preserve"> </w:t>
      </w:r>
      <w:r w:rsidR="00BC3B34">
        <w:rPr>
          <w:rFonts w:ascii="Times New Roman" w:hAnsi="Times New Roman" w:cs="Times New Roman"/>
        </w:rPr>
        <w:t xml:space="preserve">broad-based dumping of </w:t>
      </w:r>
      <w:r w:rsidR="003D7CF6">
        <w:rPr>
          <w:rFonts w:ascii="Times New Roman" w:hAnsi="Times New Roman" w:cs="Times New Roman"/>
        </w:rPr>
        <w:t xml:space="preserve">leading global currencies </w:t>
      </w:r>
      <w:r w:rsidR="00673702">
        <w:rPr>
          <w:rFonts w:ascii="Times New Roman" w:hAnsi="Times New Roman" w:cs="Times New Roman"/>
        </w:rPr>
        <w:t>the “debasement trade”</w:t>
      </w:r>
      <w:r w:rsidR="00BC3B34">
        <w:rPr>
          <w:rFonts w:ascii="Times New Roman" w:hAnsi="Times New Roman" w:cs="Times New Roman"/>
        </w:rPr>
        <w:t xml:space="preserve">, noting </w:t>
      </w:r>
      <w:r w:rsidR="00673702">
        <w:rPr>
          <w:rFonts w:ascii="Times New Roman" w:hAnsi="Times New Roman" w:cs="Times New Roman"/>
        </w:rPr>
        <w:t>a</w:t>
      </w:r>
      <w:r w:rsidR="00BC3B34">
        <w:rPr>
          <w:rFonts w:ascii="Times New Roman" w:hAnsi="Times New Roman" w:cs="Times New Roman"/>
        </w:rPr>
        <w:t xml:space="preserve">n equally </w:t>
      </w:r>
      <w:r w:rsidR="00673702">
        <w:rPr>
          <w:rFonts w:ascii="Times New Roman" w:hAnsi="Times New Roman" w:cs="Times New Roman"/>
        </w:rPr>
        <w:t xml:space="preserve">historic surge in value for dollar alternatives ranging from </w:t>
      </w:r>
      <w:r w:rsidR="00BC3B34">
        <w:rPr>
          <w:rFonts w:ascii="Times New Roman" w:hAnsi="Times New Roman" w:cs="Times New Roman"/>
        </w:rPr>
        <w:t>c</w:t>
      </w:r>
      <w:r w:rsidR="00673702">
        <w:rPr>
          <w:rFonts w:ascii="Times New Roman" w:hAnsi="Times New Roman" w:cs="Times New Roman"/>
        </w:rPr>
        <w:t xml:space="preserve">ryptocurrencies to </w:t>
      </w:r>
      <w:r w:rsidR="005315AD">
        <w:rPr>
          <w:rFonts w:ascii="Times New Roman" w:hAnsi="Times New Roman" w:cs="Times New Roman"/>
        </w:rPr>
        <w:t>p</w:t>
      </w:r>
      <w:r w:rsidR="00673702">
        <w:rPr>
          <w:rFonts w:ascii="Times New Roman" w:hAnsi="Times New Roman" w:cs="Times New Roman"/>
        </w:rPr>
        <w:t xml:space="preserve">recious </w:t>
      </w:r>
      <w:r w:rsidR="005315AD">
        <w:rPr>
          <w:rFonts w:ascii="Times New Roman" w:hAnsi="Times New Roman" w:cs="Times New Roman"/>
        </w:rPr>
        <w:t>m</w:t>
      </w:r>
      <w:r w:rsidR="00673702">
        <w:rPr>
          <w:rFonts w:ascii="Times New Roman" w:hAnsi="Times New Roman" w:cs="Times New Roman"/>
        </w:rPr>
        <w:t xml:space="preserve">etals such as gold and silver. </w:t>
      </w:r>
    </w:p>
    <w:p w14:paraId="18803349" w14:textId="77777777" w:rsidR="00673702" w:rsidRDefault="00673702" w:rsidP="001C7F4D">
      <w:pPr>
        <w:spacing w:after="0" w:line="240" w:lineRule="auto"/>
        <w:rPr>
          <w:rFonts w:ascii="Times New Roman" w:hAnsi="Times New Roman" w:cs="Times New Roman"/>
        </w:rPr>
      </w:pPr>
    </w:p>
    <w:p w14:paraId="3983ADB3" w14:textId="4E2CE271" w:rsidR="00D26947" w:rsidRDefault="009D1331" w:rsidP="001C7F4D">
      <w:pPr>
        <w:spacing w:after="0" w:line="240" w:lineRule="auto"/>
        <w:rPr>
          <w:rFonts w:ascii="Times New Roman" w:hAnsi="Times New Roman" w:cs="Times New Roman"/>
        </w:rPr>
      </w:pPr>
      <w:r>
        <w:rPr>
          <w:rFonts w:ascii="Times New Roman" w:hAnsi="Times New Roman" w:cs="Times New Roman"/>
        </w:rPr>
        <w:t>Th</w:t>
      </w:r>
      <w:r w:rsidR="00020AD2">
        <w:rPr>
          <w:rFonts w:ascii="Times New Roman" w:hAnsi="Times New Roman" w:cs="Times New Roman"/>
        </w:rPr>
        <w:t>e</w:t>
      </w:r>
      <w:r>
        <w:rPr>
          <w:rFonts w:ascii="Times New Roman" w:hAnsi="Times New Roman" w:cs="Times New Roman"/>
        </w:rPr>
        <w:t xml:space="preserve"> current mix of exuberant markets and </w:t>
      </w:r>
      <w:r w:rsidR="00020AD2">
        <w:rPr>
          <w:rFonts w:ascii="Times New Roman" w:hAnsi="Times New Roman" w:cs="Times New Roman"/>
        </w:rPr>
        <w:t xml:space="preserve">mounting </w:t>
      </w:r>
      <w:r>
        <w:rPr>
          <w:rFonts w:ascii="Times New Roman" w:hAnsi="Times New Roman" w:cs="Times New Roman"/>
        </w:rPr>
        <w:t xml:space="preserve">global </w:t>
      </w:r>
      <w:r w:rsidR="00020AD2">
        <w:rPr>
          <w:rFonts w:ascii="Times New Roman" w:hAnsi="Times New Roman" w:cs="Times New Roman"/>
        </w:rPr>
        <w:t xml:space="preserve">economic </w:t>
      </w:r>
      <w:r>
        <w:rPr>
          <w:rFonts w:ascii="Times New Roman" w:hAnsi="Times New Roman" w:cs="Times New Roman"/>
        </w:rPr>
        <w:t xml:space="preserve">strains keeps us on </w:t>
      </w:r>
      <w:r w:rsidR="00A62DAE">
        <w:rPr>
          <w:rFonts w:ascii="Times New Roman" w:hAnsi="Times New Roman" w:cs="Times New Roman"/>
        </w:rPr>
        <w:t>a</w:t>
      </w:r>
      <w:r>
        <w:rPr>
          <w:rFonts w:ascii="Times New Roman" w:hAnsi="Times New Roman" w:cs="Times New Roman"/>
        </w:rPr>
        <w:t xml:space="preserve"> </w:t>
      </w:r>
      <w:r w:rsidR="00B20298">
        <w:rPr>
          <w:rFonts w:ascii="Times New Roman" w:hAnsi="Times New Roman" w:cs="Times New Roman"/>
        </w:rPr>
        <w:t>defensive</w:t>
      </w:r>
      <w:r>
        <w:rPr>
          <w:rFonts w:ascii="Times New Roman" w:hAnsi="Times New Roman" w:cs="Times New Roman"/>
        </w:rPr>
        <w:t xml:space="preserve"> footing. </w:t>
      </w:r>
      <w:r w:rsidR="005966FF">
        <w:rPr>
          <w:rFonts w:ascii="Times New Roman" w:hAnsi="Times New Roman" w:cs="Times New Roman"/>
        </w:rPr>
        <w:t xml:space="preserve">We continue to urge investors to raise cash now as needed, be mindful of excess valuations, and </w:t>
      </w:r>
      <w:r w:rsidR="00B236D6">
        <w:rPr>
          <w:rFonts w:ascii="Times New Roman" w:hAnsi="Times New Roman" w:cs="Times New Roman"/>
        </w:rPr>
        <w:t>book</w:t>
      </w:r>
      <w:r w:rsidR="005966FF">
        <w:rPr>
          <w:rFonts w:ascii="Times New Roman" w:hAnsi="Times New Roman" w:cs="Times New Roman"/>
        </w:rPr>
        <w:t xml:space="preserve"> </w:t>
      </w:r>
      <w:r w:rsidR="00020AD2">
        <w:rPr>
          <w:rFonts w:ascii="Times New Roman" w:hAnsi="Times New Roman" w:cs="Times New Roman"/>
        </w:rPr>
        <w:t xml:space="preserve">profits </w:t>
      </w:r>
      <w:r w:rsidR="003A5357">
        <w:rPr>
          <w:rFonts w:ascii="Times New Roman" w:hAnsi="Times New Roman" w:cs="Times New Roman"/>
        </w:rPr>
        <w:t xml:space="preserve">as needed </w:t>
      </w:r>
      <w:r w:rsidR="00020AD2">
        <w:rPr>
          <w:rFonts w:ascii="Times New Roman" w:hAnsi="Times New Roman" w:cs="Times New Roman"/>
        </w:rPr>
        <w:t xml:space="preserve">to maintain their long-term investment allocation. </w:t>
      </w:r>
    </w:p>
    <w:p w14:paraId="72DCF03D" w14:textId="77777777" w:rsidR="00020AD2" w:rsidRDefault="00020AD2" w:rsidP="001C7F4D">
      <w:pPr>
        <w:spacing w:after="0" w:line="240" w:lineRule="auto"/>
        <w:rPr>
          <w:rFonts w:ascii="Times New Roman" w:hAnsi="Times New Roman" w:cs="Times New Roman"/>
        </w:rPr>
      </w:pPr>
    </w:p>
    <w:p w14:paraId="4DFEF83A" w14:textId="1FCFD829" w:rsidR="00967625" w:rsidRDefault="00020AD2" w:rsidP="00532BC2">
      <w:pPr>
        <w:pStyle w:val="Default"/>
        <w:jc w:val="center"/>
        <w:rPr>
          <w:sz w:val="22"/>
          <w:szCs w:val="22"/>
        </w:rPr>
      </w:pPr>
      <w:r>
        <w:rPr>
          <w:noProof/>
          <w:sz w:val="22"/>
          <w:szCs w:val="22"/>
        </w:rPr>
        <w:drawing>
          <wp:inline distT="0" distB="0" distL="0" distR="0" wp14:anchorId="092E1A36" wp14:editId="5805C541">
            <wp:extent cx="6148904" cy="3419475"/>
            <wp:effectExtent l="0" t="0" r="4445" b="0"/>
            <wp:docPr id="96823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6034" cy="3451246"/>
                    </a:xfrm>
                    <a:prstGeom prst="rect">
                      <a:avLst/>
                    </a:prstGeom>
                    <a:noFill/>
                  </pic:spPr>
                </pic:pic>
              </a:graphicData>
            </a:graphic>
          </wp:inline>
        </w:drawing>
      </w:r>
    </w:p>
    <w:p w14:paraId="385D8216" w14:textId="7E383C24" w:rsidR="0026766A" w:rsidRDefault="0026766A" w:rsidP="00E0622F">
      <w:pPr>
        <w:pStyle w:val="Default"/>
        <w:rPr>
          <w:i/>
          <w:iCs/>
          <w:sz w:val="20"/>
          <w:szCs w:val="20"/>
        </w:rPr>
      </w:pPr>
      <w:r w:rsidRPr="00580079">
        <w:rPr>
          <w:i/>
          <w:iCs/>
          <w:sz w:val="20"/>
          <w:szCs w:val="20"/>
        </w:rPr>
        <w:t>Source: Bloomberg</w:t>
      </w:r>
    </w:p>
    <w:p w14:paraId="26E2D7AF" w14:textId="77777777" w:rsidR="00ED27DB" w:rsidRDefault="00ED27DB" w:rsidP="000C7F30">
      <w:pPr>
        <w:pStyle w:val="Default"/>
        <w:jc w:val="center"/>
        <w:rPr>
          <w:b/>
          <w:bCs/>
          <w:sz w:val="22"/>
          <w:szCs w:val="22"/>
          <w:u w:val="single"/>
        </w:rPr>
      </w:pPr>
    </w:p>
    <w:p w14:paraId="0E278CA8" w14:textId="62F68896" w:rsidR="000D5B73" w:rsidRDefault="005966FF" w:rsidP="000C7F30">
      <w:pPr>
        <w:pStyle w:val="Default"/>
        <w:jc w:val="center"/>
        <w:rPr>
          <w:b/>
          <w:bCs/>
          <w:sz w:val="22"/>
          <w:szCs w:val="22"/>
          <w:u w:val="single"/>
        </w:rPr>
      </w:pPr>
      <w:r>
        <w:rPr>
          <w:b/>
          <w:bCs/>
          <w:sz w:val="22"/>
          <w:szCs w:val="22"/>
          <w:u w:val="single"/>
        </w:rPr>
        <w:t>Third</w:t>
      </w:r>
      <w:r w:rsidR="001D2009">
        <w:rPr>
          <w:b/>
          <w:bCs/>
          <w:sz w:val="22"/>
          <w:szCs w:val="22"/>
          <w:u w:val="single"/>
        </w:rPr>
        <w:t xml:space="preserve"> Quarter Stock Performance</w:t>
      </w:r>
    </w:p>
    <w:p w14:paraId="662DEE62" w14:textId="77777777" w:rsidR="001D2009" w:rsidRDefault="001D2009" w:rsidP="000C7F30">
      <w:pPr>
        <w:pStyle w:val="Default"/>
        <w:jc w:val="center"/>
        <w:rPr>
          <w:b/>
          <w:bCs/>
          <w:sz w:val="22"/>
          <w:szCs w:val="22"/>
          <w:u w:val="single"/>
        </w:rPr>
      </w:pPr>
    </w:p>
    <w:p w14:paraId="6396175C" w14:textId="1D4110A0" w:rsidR="005315AD" w:rsidRDefault="001010A3" w:rsidP="0006072B">
      <w:pPr>
        <w:pStyle w:val="Default"/>
        <w:rPr>
          <w:sz w:val="22"/>
          <w:szCs w:val="22"/>
        </w:rPr>
      </w:pPr>
      <w:r>
        <w:rPr>
          <w:sz w:val="22"/>
          <w:szCs w:val="22"/>
        </w:rPr>
        <w:t xml:space="preserve">U.S. stocks </w:t>
      </w:r>
      <w:r w:rsidR="00142F78">
        <w:rPr>
          <w:sz w:val="22"/>
          <w:szCs w:val="22"/>
        </w:rPr>
        <w:t xml:space="preserve">advanced approximately </w:t>
      </w:r>
      <w:r w:rsidR="00F92D8B">
        <w:rPr>
          <w:sz w:val="22"/>
          <w:szCs w:val="22"/>
        </w:rPr>
        <w:t>8</w:t>
      </w:r>
      <w:r w:rsidR="00142F78">
        <w:rPr>
          <w:sz w:val="22"/>
          <w:szCs w:val="22"/>
        </w:rPr>
        <w:t>% in the quarter</w:t>
      </w:r>
      <w:r w:rsidR="0033248F">
        <w:rPr>
          <w:sz w:val="22"/>
          <w:szCs w:val="22"/>
        </w:rPr>
        <w:t xml:space="preserve">, </w:t>
      </w:r>
      <w:r w:rsidR="0006072B">
        <w:rPr>
          <w:sz w:val="22"/>
          <w:szCs w:val="22"/>
        </w:rPr>
        <w:t>with Communications and Information Technology companies leading the overall market</w:t>
      </w:r>
      <w:r w:rsidR="00F93776">
        <w:rPr>
          <w:sz w:val="22"/>
          <w:szCs w:val="22"/>
        </w:rPr>
        <w:t xml:space="preserve"> </w:t>
      </w:r>
      <w:r w:rsidR="0052411F">
        <w:rPr>
          <w:sz w:val="22"/>
          <w:szCs w:val="22"/>
        </w:rPr>
        <w:t>and</w:t>
      </w:r>
      <w:r w:rsidR="00D56A13">
        <w:rPr>
          <w:sz w:val="22"/>
          <w:szCs w:val="22"/>
        </w:rPr>
        <w:t xml:space="preserve"> nearly every other </w:t>
      </w:r>
      <w:r w:rsidR="00F93776">
        <w:rPr>
          <w:sz w:val="22"/>
          <w:szCs w:val="22"/>
        </w:rPr>
        <w:t xml:space="preserve">economic sector </w:t>
      </w:r>
      <w:r w:rsidR="0052411F">
        <w:rPr>
          <w:sz w:val="22"/>
          <w:szCs w:val="22"/>
        </w:rPr>
        <w:t xml:space="preserve">trailing </w:t>
      </w:r>
      <w:r w:rsidR="00F93776">
        <w:rPr>
          <w:sz w:val="22"/>
          <w:szCs w:val="22"/>
        </w:rPr>
        <w:t xml:space="preserve">aggregate </w:t>
      </w:r>
      <w:r w:rsidR="00D56A13">
        <w:rPr>
          <w:sz w:val="22"/>
          <w:szCs w:val="22"/>
        </w:rPr>
        <w:t>market</w:t>
      </w:r>
      <w:r w:rsidR="00F93776">
        <w:rPr>
          <w:sz w:val="22"/>
          <w:szCs w:val="22"/>
        </w:rPr>
        <w:t xml:space="preserve"> returns</w:t>
      </w:r>
      <w:r w:rsidR="0006072B">
        <w:rPr>
          <w:sz w:val="22"/>
          <w:szCs w:val="22"/>
        </w:rPr>
        <w:t xml:space="preserve">. </w:t>
      </w:r>
      <w:r w:rsidR="005F37A0">
        <w:rPr>
          <w:sz w:val="22"/>
          <w:szCs w:val="22"/>
        </w:rPr>
        <w:t xml:space="preserve">Apple </w:t>
      </w:r>
      <w:r w:rsidR="00D56A13">
        <w:rPr>
          <w:sz w:val="22"/>
          <w:szCs w:val="22"/>
        </w:rPr>
        <w:t>Inc</w:t>
      </w:r>
      <w:r w:rsidR="005F37A0">
        <w:rPr>
          <w:sz w:val="22"/>
          <w:szCs w:val="22"/>
        </w:rPr>
        <w:t xml:space="preserve"> </w:t>
      </w:r>
      <w:r w:rsidR="006E56A6">
        <w:rPr>
          <w:sz w:val="22"/>
          <w:szCs w:val="22"/>
        </w:rPr>
        <w:t xml:space="preserve">was the largest contributor to index gains, posting a 25% </w:t>
      </w:r>
      <w:r w:rsidR="00F03C93">
        <w:rPr>
          <w:sz w:val="22"/>
          <w:szCs w:val="22"/>
        </w:rPr>
        <w:t>advance</w:t>
      </w:r>
      <w:r w:rsidR="00AB4247">
        <w:rPr>
          <w:sz w:val="22"/>
          <w:szCs w:val="22"/>
        </w:rPr>
        <w:t xml:space="preserve"> </w:t>
      </w:r>
      <w:r w:rsidR="00F93776">
        <w:rPr>
          <w:sz w:val="22"/>
          <w:szCs w:val="22"/>
        </w:rPr>
        <w:t xml:space="preserve">during the period </w:t>
      </w:r>
      <w:r w:rsidR="006E56A6">
        <w:rPr>
          <w:sz w:val="22"/>
          <w:szCs w:val="22"/>
        </w:rPr>
        <w:t xml:space="preserve">as its iPhone 17 release tracked well ahead of expectations. Alphabet Inc. (Google) </w:t>
      </w:r>
      <w:r w:rsidR="004C5789">
        <w:rPr>
          <w:sz w:val="22"/>
          <w:szCs w:val="22"/>
        </w:rPr>
        <w:t xml:space="preserve">surged </w:t>
      </w:r>
      <w:r w:rsidR="006E56A6">
        <w:rPr>
          <w:sz w:val="22"/>
          <w:szCs w:val="22"/>
        </w:rPr>
        <w:t xml:space="preserve">38% </w:t>
      </w:r>
      <w:r w:rsidR="004C5789">
        <w:rPr>
          <w:sz w:val="22"/>
          <w:szCs w:val="22"/>
        </w:rPr>
        <w:t>in the quarter</w:t>
      </w:r>
      <w:r w:rsidR="00BC3B34">
        <w:rPr>
          <w:sz w:val="22"/>
          <w:szCs w:val="22"/>
        </w:rPr>
        <w:t xml:space="preserve">, rallying after a federal judge instituted </w:t>
      </w:r>
      <w:r w:rsidR="006E56A6">
        <w:rPr>
          <w:sz w:val="22"/>
          <w:szCs w:val="22"/>
        </w:rPr>
        <w:t xml:space="preserve">only minor remedies in </w:t>
      </w:r>
      <w:r w:rsidR="00BC3B34">
        <w:rPr>
          <w:sz w:val="22"/>
          <w:szCs w:val="22"/>
        </w:rPr>
        <w:t xml:space="preserve">response to the company’s recent </w:t>
      </w:r>
      <w:r w:rsidR="006E56A6">
        <w:rPr>
          <w:sz w:val="22"/>
          <w:szCs w:val="22"/>
        </w:rPr>
        <w:t xml:space="preserve">Antitrust </w:t>
      </w:r>
      <w:r w:rsidR="00BC3B34">
        <w:rPr>
          <w:sz w:val="22"/>
          <w:szCs w:val="22"/>
        </w:rPr>
        <w:t>conviction</w:t>
      </w:r>
      <w:r w:rsidR="006E56A6">
        <w:rPr>
          <w:sz w:val="22"/>
          <w:szCs w:val="22"/>
        </w:rPr>
        <w:t xml:space="preserve">. AI related stocks </w:t>
      </w:r>
      <w:r w:rsidR="00BC3B34">
        <w:rPr>
          <w:sz w:val="22"/>
          <w:szCs w:val="22"/>
        </w:rPr>
        <w:t>s</w:t>
      </w:r>
      <w:r w:rsidR="006E56A6">
        <w:rPr>
          <w:sz w:val="22"/>
          <w:szCs w:val="22"/>
        </w:rPr>
        <w:t>urged</w:t>
      </w:r>
      <w:r w:rsidR="00BC3B34">
        <w:rPr>
          <w:sz w:val="22"/>
          <w:szCs w:val="22"/>
        </w:rPr>
        <w:t xml:space="preserve"> across the board</w:t>
      </w:r>
      <w:r w:rsidR="006E56A6">
        <w:rPr>
          <w:sz w:val="22"/>
          <w:szCs w:val="22"/>
        </w:rPr>
        <w:t>, headlined by Oracle corporation</w:t>
      </w:r>
      <w:r w:rsidR="00BC3B34">
        <w:rPr>
          <w:sz w:val="22"/>
          <w:szCs w:val="22"/>
        </w:rPr>
        <w:t>’</w:t>
      </w:r>
      <w:r w:rsidR="006E56A6">
        <w:rPr>
          <w:sz w:val="22"/>
          <w:szCs w:val="22"/>
        </w:rPr>
        <w:t xml:space="preserve">s </w:t>
      </w:r>
      <w:r w:rsidR="00033496">
        <w:rPr>
          <w:sz w:val="22"/>
          <w:szCs w:val="22"/>
        </w:rPr>
        <w:t>36</w:t>
      </w:r>
      <w:r w:rsidR="00BC3B34">
        <w:rPr>
          <w:sz w:val="22"/>
          <w:szCs w:val="22"/>
        </w:rPr>
        <w:t xml:space="preserve">% </w:t>
      </w:r>
      <w:r w:rsidR="00AF50A5">
        <w:rPr>
          <w:sz w:val="22"/>
          <w:szCs w:val="22"/>
        </w:rPr>
        <w:t>single day gain</w:t>
      </w:r>
      <w:r w:rsidR="00BC3B34">
        <w:rPr>
          <w:sz w:val="22"/>
          <w:szCs w:val="22"/>
        </w:rPr>
        <w:t xml:space="preserve"> a</w:t>
      </w:r>
      <w:r w:rsidR="00033496">
        <w:rPr>
          <w:sz w:val="22"/>
          <w:szCs w:val="22"/>
        </w:rPr>
        <w:t xml:space="preserve">fter </w:t>
      </w:r>
      <w:r w:rsidR="005315AD">
        <w:rPr>
          <w:sz w:val="22"/>
          <w:szCs w:val="22"/>
        </w:rPr>
        <w:t xml:space="preserve">it announced a </w:t>
      </w:r>
      <w:r w:rsidR="00AF50A5">
        <w:rPr>
          <w:sz w:val="22"/>
          <w:szCs w:val="22"/>
        </w:rPr>
        <w:t xml:space="preserve">massive </w:t>
      </w:r>
      <w:r w:rsidR="005315AD">
        <w:rPr>
          <w:sz w:val="22"/>
          <w:szCs w:val="22"/>
        </w:rPr>
        <w:t xml:space="preserve">$300 Billion multi-year data center deal with OpenAI. </w:t>
      </w:r>
      <w:r w:rsidR="00D56A13">
        <w:rPr>
          <w:sz w:val="22"/>
          <w:szCs w:val="22"/>
        </w:rPr>
        <w:t xml:space="preserve">The Bloomberg Artificial Intelligence Index posted a 14% return for the quarter. </w:t>
      </w:r>
    </w:p>
    <w:p w14:paraId="258A1D42" w14:textId="77777777" w:rsidR="0052411F" w:rsidRDefault="0052411F" w:rsidP="0006072B">
      <w:pPr>
        <w:pStyle w:val="Default"/>
        <w:rPr>
          <w:sz w:val="22"/>
          <w:szCs w:val="22"/>
        </w:rPr>
      </w:pPr>
    </w:p>
    <w:p w14:paraId="61CD45D8" w14:textId="42638CF9" w:rsidR="0052411F" w:rsidRDefault="0052411F" w:rsidP="0006072B">
      <w:pPr>
        <w:pStyle w:val="Default"/>
        <w:rPr>
          <w:sz w:val="22"/>
          <w:szCs w:val="22"/>
        </w:rPr>
      </w:pPr>
      <w:r>
        <w:rPr>
          <w:sz w:val="22"/>
          <w:szCs w:val="22"/>
        </w:rPr>
        <w:t xml:space="preserve">Traditionally defensive sectors lagged overall market performance, with </w:t>
      </w:r>
      <w:r w:rsidR="00BB34AD">
        <w:rPr>
          <w:sz w:val="22"/>
          <w:szCs w:val="22"/>
        </w:rPr>
        <w:t xml:space="preserve">Consumer </w:t>
      </w:r>
      <w:r>
        <w:rPr>
          <w:sz w:val="22"/>
          <w:szCs w:val="22"/>
        </w:rPr>
        <w:t xml:space="preserve">Staple stocks losing ground during the quarter and Health Care </w:t>
      </w:r>
      <w:r w:rsidR="00AF50A5">
        <w:rPr>
          <w:sz w:val="22"/>
          <w:szCs w:val="22"/>
        </w:rPr>
        <w:t xml:space="preserve">stocks </w:t>
      </w:r>
      <w:r>
        <w:rPr>
          <w:sz w:val="22"/>
          <w:szCs w:val="22"/>
        </w:rPr>
        <w:t xml:space="preserve">posting minimal gains. </w:t>
      </w:r>
      <w:r w:rsidR="002059E6">
        <w:rPr>
          <w:sz w:val="22"/>
          <w:szCs w:val="22"/>
        </w:rPr>
        <w:t>Both groups have faced significant headwinds from the Trump Administration tariff programs</w:t>
      </w:r>
      <w:r w:rsidR="00F7645C">
        <w:rPr>
          <w:sz w:val="22"/>
          <w:szCs w:val="22"/>
        </w:rPr>
        <w:t xml:space="preserve">, </w:t>
      </w:r>
      <w:r w:rsidR="002059E6">
        <w:rPr>
          <w:sz w:val="22"/>
          <w:szCs w:val="22"/>
        </w:rPr>
        <w:t xml:space="preserve">and </w:t>
      </w:r>
      <w:r w:rsidR="009F79CF">
        <w:rPr>
          <w:sz w:val="22"/>
          <w:szCs w:val="22"/>
        </w:rPr>
        <w:t>H</w:t>
      </w:r>
      <w:r w:rsidR="002059E6">
        <w:rPr>
          <w:sz w:val="22"/>
          <w:szCs w:val="22"/>
        </w:rPr>
        <w:t xml:space="preserve">ealth </w:t>
      </w:r>
      <w:r w:rsidR="009F79CF">
        <w:rPr>
          <w:sz w:val="22"/>
          <w:szCs w:val="22"/>
        </w:rPr>
        <w:t>C</w:t>
      </w:r>
      <w:r w:rsidR="002059E6">
        <w:rPr>
          <w:sz w:val="22"/>
          <w:szCs w:val="22"/>
        </w:rPr>
        <w:t xml:space="preserve">are stocks have suffered from regulatory concerns pressuring pharmaceutical and health insurance companies. </w:t>
      </w:r>
    </w:p>
    <w:p w14:paraId="7427101D" w14:textId="77777777" w:rsidR="005315AD" w:rsidRDefault="005315AD" w:rsidP="0006072B">
      <w:pPr>
        <w:pStyle w:val="Default"/>
        <w:rPr>
          <w:sz w:val="22"/>
          <w:szCs w:val="22"/>
        </w:rPr>
      </w:pPr>
    </w:p>
    <w:p w14:paraId="54DCD1D1" w14:textId="213955D0" w:rsidR="00CE7406" w:rsidRDefault="00F92D8B" w:rsidP="00F92D8B">
      <w:pPr>
        <w:pStyle w:val="Default"/>
        <w:jc w:val="center"/>
        <w:rPr>
          <w:sz w:val="22"/>
          <w:szCs w:val="22"/>
        </w:rPr>
      </w:pPr>
      <w:r>
        <w:rPr>
          <w:noProof/>
          <w:sz w:val="22"/>
          <w:szCs w:val="22"/>
        </w:rPr>
        <w:drawing>
          <wp:inline distT="0" distB="0" distL="0" distR="0" wp14:anchorId="60E10B4D" wp14:editId="6F045A8A">
            <wp:extent cx="6038124" cy="3935730"/>
            <wp:effectExtent l="0" t="0" r="1270" b="7620"/>
            <wp:docPr id="96786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9986" cy="3949980"/>
                    </a:xfrm>
                    <a:prstGeom prst="rect">
                      <a:avLst/>
                    </a:prstGeom>
                    <a:noFill/>
                  </pic:spPr>
                </pic:pic>
              </a:graphicData>
            </a:graphic>
          </wp:inline>
        </w:drawing>
      </w:r>
    </w:p>
    <w:p w14:paraId="02F1362D" w14:textId="548DC630" w:rsidR="00580079" w:rsidRDefault="001B09D2" w:rsidP="001B09D2">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00580079" w:rsidRPr="00580079">
        <w:rPr>
          <w:rFonts w:ascii="Times New Roman" w:hAnsi="Times New Roman" w:cs="Times New Roman"/>
          <w:i/>
          <w:iCs/>
          <w:sz w:val="20"/>
          <w:szCs w:val="20"/>
        </w:rPr>
        <w:t>Source: Bloomberg</w:t>
      </w:r>
    </w:p>
    <w:p w14:paraId="5B02726E" w14:textId="77777777" w:rsidR="00086C5E" w:rsidRDefault="00086C5E" w:rsidP="001B09D2">
      <w:pPr>
        <w:spacing w:after="0" w:line="240" w:lineRule="auto"/>
        <w:rPr>
          <w:rFonts w:ascii="Times New Roman" w:hAnsi="Times New Roman" w:cs="Times New Roman"/>
          <w:b/>
          <w:bCs/>
          <w:sz w:val="20"/>
          <w:szCs w:val="20"/>
          <w:u w:val="single"/>
        </w:rPr>
      </w:pPr>
    </w:p>
    <w:p w14:paraId="177A787D" w14:textId="08F0840B" w:rsidR="00D56A13" w:rsidRDefault="00D56A13" w:rsidP="00D56A13">
      <w:pPr>
        <w:pStyle w:val="Default"/>
        <w:rPr>
          <w:sz w:val="22"/>
          <w:szCs w:val="22"/>
        </w:rPr>
      </w:pPr>
      <w:r>
        <w:rPr>
          <w:sz w:val="22"/>
          <w:szCs w:val="22"/>
        </w:rPr>
        <w:t xml:space="preserve">The </w:t>
      </w:r>
      <w:r w:rsidR="003A5357">
        <w:rPr>
          <w:sz w:val="22"/>
          <w:szCs w:val="22"/>
        </w:rPr>
        <w:t>narrow</w:t>
      </w:r>
      <w:r w:rsidR="009F52D9">
        <w:rPr>
          <w:sz w:val="22"/>
          <w:szCs w:val="22"/>
        </w:rPr>
        <w:t xml:space="preserve">, </w:t>
      </w:r>
      <w:r>
        <w:rPr>
          <w:sz w:val="22"/>
          <w:szCs w:val="22"/>
        </w:rPr>
        <w:t>growth-</w:t>
      </w:r>
      <w:r w:rsidR="00A62DAE">
        <w:rPr>
          <w:sz w:val="22"/>
          <w:szCs w:val="22"/>
        </w:rPr>
        <w:t>stock-oriented</w:t>
      </w:r>
      <w:r>
        <w:rPr>
          <w:sz w:val="22"/>
          <w:szCs w:val="22"/>
        </w:rPr>
        <w:t xml:space="preserve"> </w:t>
      </w:r>
      <w:r w:rsidR="002059E6">
        <w:rPr>
          <w:sz w:val="22"/>
          <w:szCs w:val="22"/>
        </w:rPr>
        <w:t xml:space="preserve">nature of S&amp;P 500 </w:t>
      </w:r>
      <w:r>
        <w:rPr>
          <w:sz w:val="22"/>
          <w:szCs w:val="22"/>
        </w:rPr>
        <w:t xml:space="preserve">performance </w:t>
      </w:r>
      <w:r w:rsidR="002059E6">
        <w:rPr>
          <w:sz w:val="22"/>
          <w:szCs w:val="22"/>
        </w:rPr>
        <w:t xml:space="preserve">during the quarter </w:t>
      </w:r>
      <w:r w:rsidR="00546B89">
        <w:rPr>
          <w:sz w:val="22"/>
          <w:szCs w:val="22"/>
        </w:rPr>
        <w:t>extend</w:t>
      </w:r>
      <w:r w:rsidR="009F52D9">
        <w:rPr>
          <w:sz w:val="22"/>
          <w:szCs w:val="22"/>
        </w:rPr>
        <w:t>ed</w:t>
      </w:r>
      <w:r w:rsidR="00546B89">
        <w:rPr>
          <w:sz w:val="22"/>
          <w:szCs w:val="22"/>
        </w:rPr>
        <w:t xml:space="preserve"> </w:t>
      </w:r>
      <w:r w:rsidR="0052411F">
        <w:rPr>
          <w:sz w:val="22"/>
          <w:szCs w:val="22"/>
        </w:rPr>
        <w:t xml:space="preserve">the </w:t>
      </w:r>
      <w:r>
        <w:rPr>
          <w:sz w:val="22"/>
          <w:szCs w:val="22"/>
        </w:rPr>
        <w:t xml:space="preserve">multi-year streak of cyclical stocks </w:t>
      </w:r>
      <w:r w:rsidR="002E7E64">
        <w:rPr>
          <w:sz w:val="22"/>
          <w:szCs w:val="22"/>
        </w:rPr>
        <w:t xml:space="preserve">outperforming their defensive peers by a </w:t>
      </w:r>
      <w:r w:rsidR="00720EF1">
        <w:rPr>
          <w:sz w:val="22"/>
          <w:szCs w:val="22"/>
        </w:rPr>
        <w:t>significant</w:t>
      </w:r>
      <w:r w:rsidR="002E7E64">
        <w:rPr>
          <w:sz w:val="22"/>
          <w:szCs w:val="22"/>
        </w:rPr>
        <w:t xml:space="preserve"> margin. </w:t>
      </w:r>
      <w:r w:rsidR="0052411F">
        <w:rPr>
          <w:sz w:val="22"/>
          <w:szCs w:val="22"/>
        </w:rPr>
        <w:t xml:space="preserve">For decades, defensive and cyclical strategies </w:t>
      </w:r>
      <w:r w:rsidR="002059E6">
        <w:rPr>
          <w:sz w:val="22"/>
          <w:szCs w:val="22"/>
        </w:rPr>
        <w:t xml:space="preserve">traded </w:t>
      </w:r>
      <w:r w:rsidR="0052411F">
        <w:rPr>
          <w:sz w:val="22"/>
          <w:szCs w:val="22"/>
        </w:rPr>
        <w:t>leadership, with cyclical stocks outperforming during bull markets</w:t>
      </w:r>
      <w:r w:rsidR="00F7645C">
        <w:rPr>
          <w:sz w:val="22"/>
          <w:szCs w:val="22"/>
        </w:rPr>
        <w:t>. D</w:t>
      </w:r>
      <w:r w:rsidR="0052411F">
        <w:rPr>
          <w:sz w:val="22"/>
          <w:szCs w:val="22"/>
        </w:rPr>
        <w:t xml:space="preserve">efensive stocks provided much better risk adjusted returns through the final stages of business cycles and bear market downturns. </w:t>
      </w:r>
      <w:r w:rsidR="009F79CF">
        <w:rPr>
          <w:sz w:val="22"/>
          <w:szCs w:val="22"/>
        </w:rPr>
        <w:t xml:space="preserve">The current stretch of cyclical leadership is reaching its tenth year </w:t>
      </w:r>
      <w:proofErr w:type="gramStart"/>
      <w:r w:rsidR="009F79CF">
        <w:rPr>
          <w:sz w:val="22"/>
          <w:szCs w:val="22"/>
        </w:rPr>
        <w:t>and</w:t>
      </w:r>
      <w:r w:rsidR="00F7645C">
        <w:rPr>
          <w:sz w:val="22"/>
          <w:szCs w:val="22"/>
        </w:rPr>
        <w:t xml:space="preserve">, </w:t>
      </w:r>
      <w:r w:rsidR="0092030E">
        <w:rPr>
          <w:sz w:val="22"/>
          <w:szCs w:val="22"/>
        </w:rPr>
        <w:t xml:space="preserve"> </w:t>
      </w:r>
      <w:r w:rsidR="009F79CF">
        <w:rPr>
          <w:sz w:val="22"/>
          <w:szCs w:val="22"/>
        </w:rPr>
        <w:t>absent</w:t>
      </w:r>
      <w:proofErr w:type="gramEnd"/>
      <w:r w:rsidR="009F79CF">
        <w:rPr>
          <w:sz w:val="22"/>
          <w:szCs w:val="22"/>
        </w:rPr>
        <w:t xml:space="preserve"> any market collapse</w:t>
      </w:r>
      <w:r w:rsidR="0092030E">
        <w:rPr>
          <w:sz w:val="22"/>
          <w:szCs w:val="22"/>
        </w:rPr>
        <w:t xml:space="preserve"> over the next month, will soon be </w:t>
      </w:r>
      <w:r w:rsidR="009F79CF">
        <w:rPr>
          <w:sz w:val="22"/>
          <w:szCs w:val="22"/>
        </w:rPr>
        <w:t>the longest stretch on record</w:t>
      </w:r>
      <w:r w:rsidR="00C51451">
        <w:rPr>
          <w:sz w:val="22"/>
          <w:szCs w:val="22"/>
        </w:rPr>
        <w:t xml:space="preserve"> for one style outperforming the other. </w:t>
      </w:r>
    </w:p>
    <w:p w14:paraId="2BA8C12D" w14:textId="77777777" w:rsidR="001704E5" w:rsidRDefault="001704E5" w:rsidP="00D56A13">
      <w:pPr>
        <w:pStyle w:val="Default"/>
        <w:rPr>
          <w:sz w:val="22"/>
          <w:szCs w:val="22"/>
        </w:rPr>
      </w:pPr>
    </w:p>
    <w:p w14:paraId="1E757861" w14:textId="5848AEEE" w:rsidR="00FE320B" w:rsidRPr="001704E5" w:rsidRDefault="001704E5" w:rsidP="001704E5">
      <w:pPr>
        <w:pStyle w:val="Default"/>
        <w:rPr>
          <w:sz w:val="22"/>
          <w:szCs w:val="22"/>
        </w:rPr>
      </w:pPr>
      <w:r w:rsidRPr="001704E5">
        <w:rPr>
          <w:noProof/>
        </w:rPr>
        <w:drawing>
          <wp:inline distT="0" distB="0" distL="0" distR="0" wp14:anchorId="4897CCC4" wp14:editId="1D7F6528">
            <wp:extent cx="5772150" cy="4955045"/>
            <wp:effectExtent l="0" t="0" r="0" b="0"/>
            <wp:docPr id="64208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7113" cy="4959305"/>
                    </a:xfrm>
                    <a:prstGeom prst="rect">
                      <a:avLst/>
                    </a:prstGeom>
                    <a:noFill/>
                    <a:ln>
                      <a:noFill/>
                    </a:ln>
                  </pic:spPr>
                </pic:pic>
              </a:graphicData>
            </a:graphic>
          </wp:inline>
        </w:drawing>
      </w:r>
      <w:r w:rsidR="00FE320B">
        <w:rPr>
          <w:i/>
          <w:iCs/>
          <w:sz w:val="20"/>
          <w:szCs w:val="20"/>
        </w:rPr>
        <w:t xml:space="preserve"> </w:t>
      </w:r>
      <w:r w:rsidR="00FE320B" w:rsidRPr="00580079">
        <w:rPr>
          <w:i/>
          <w:iCs/>
          <w:sz w:val="20"/>
          <w:szCs w:val="20"/>
        </w:rPr>
        <w:t>Source: Bloomberg</w:t>
      </w:r>
      <w:r w:rsidR="00E75B81">
        <w:rPr>
          <w:i/>
          <w:iCs/>
          <w:sz w:val="20"/>
          <w:szCs w:val="20"/>
        </w:rPr>
        <w:t>, MSCI</w:t>
      </w:r>
    </w:p>
    <w:p w14:paraId="36A70ED5" w14:textId="41F0CDF5" w:rsidR="002D1210" w:rsidRDefault="002D1210" w:rsidP="000D5B73">
      <w:pPr>
        <w:pStyle w:val="Default"/>
        <w:rPr>
          <w:sz w:val="22"/>
          <w:szCs w:val="22"/>
        </w:rPr>
      </w:pPr>
    </w:p>
    <w:p w14:paraId="4D4D92E2" w14:textId="22094BEB" w:rsidR="00284022" w:rsidRDefault="009D7C23" w:rsidP="00284022">
      <w:pPr>
        <w:pStyle w:val="Default"/>
        <w:rPr>
          <w:sz w:val="22"/>
          <w:szCs w:val="22"/>
        </w:rPr>
      </w:pPr>
      <w:r>
        <w:rPr>
          <w:sz w:val="22"/>
          <w:szCs w:val="22"/>
        </w:rPr>
        <w:t xml:space="preserve">Emerging </w:t>
      </w:r>
      <w:r w:rsidR="001704E5">
        <w:rPr>
          <w:sz w:val="22"/>
          <w:szCs w:val="22"/>
        </w:rPr>
        <w:t>m</w:t>
      </w:r>
      <w:r>
        <w:rPr>
          <w:sz w:val="22"/>
          <w:szCs w:val="22"/>
        </w:rPr>
        <w:t>arkets</w:t>
      </w:r>
      <w:r w:rsidR="00F90CB8">
        <w:rPr>
          <w:sz w:val="22"/>
          <w:szCs w:val="22"/>
        </w:rPr>
        <w:t xml:space="preserve"> stocks</w:t>
      </w:r>
      <w:r w:rsidR="00E7454C">
        <w:rPr>
          <w:sz w:val="22"/>
          <w:szCs w:val="22"/>
        </w:rPr>
        <w:t xml:space="preserve">, and </w:t>
      </w:r>
      <w:r>
        <w:rPr>
          <w:sz w:val="22"/>
          <w:szCs w:val="22"/>
        </w:rPr>
        <w:t>Chinese shares</w:t>
      </w:r>
      <w:r w:rsidR="00E7454C">
        <w:rPr>
          <w:sz w:val="22"/>
          <w:szCs w:val="22"/>
        </w:rPr>
        <w:t xml:space="preserve"> in particular, lead international market returns </w:t>
      </w:r>
      <w:r w:rsidR="00AF50A5">
        <w:rPr>
          <w:sz w:val="22"/>
          <w:szCs w:val="22"/>
        </w:rPr>
        <w:t>as Asian shares were also swept up in the Artificial Intelligence boom. Taiwan Semiconductor, the primary outsourced semiconductor manufacturer for firms ranging from Apple to Nvidia, posted a 24% gain for the period as demand continues to swell for computer chips. Chin</w:t>
      </w:r>
      <w:r w:rsidR="006D3577">
        <w:rPr>
          <w:sz w:val="22"/>
          <w:szCs w:val="22"/>
        </w:rPr>
        <w:t>a’s</w:t>
      </w:r>
      <w:r w:rsidR="00AF50A5">
        <w:rPr>
          <w:sz w:val="22"/>
          <w:szCs w:val="22"/>
        </w:rPr>
        <w:t xml:space="preserve"> </w:t>
      </w:r>
      <w:r w:rsidR="006D3577">
        <w:rPr>
          <w:sz w:val="22"/>
          <w:szCs w:val="22"/>
        </w:rPr>
        <w:t xml:space="preserve">leading </w:t>
      </w:r>
      <w:r w:rsidR="00AF50A5">
        <w:rPr>
          <w:sz w:val="22"/>
          <w:szCs w:val="22"/>
        </w:rPr>
        <w:t xml:space="preserve">tech firms also posted strong gains, with the Alibaba Group </w:t>
      </w:r>
      <w:r w:rsidR="00F7645C">
        <w:rPr>
          <w:sz w:val="22"/>
          <w:szCs w:val="22"/>
        </w:rPr>
        <w:t xml:space="preserve">and </w:t>
      </w:r>
      <w:r w:rsidR="00F7645C">
        <w:rPr>
          <w:sz w:val="22"/>
          <w:szCs w:val="22"/>
        </w:rPr>
        <w:t xml:space="preserve">Tencent Holdings </w:t>
      </w:r>
      <w:r w:rsidR="00AF50A5">
        <w:rPr>
          <w:sz w:val="22"/>
          <w:szCs w:val="22"/>
        </w:rPr>
        <w:t xml:space="preserve">rising 57% </w:t>
      </w:r>
      <w:r w:rsidR="00F7645C">
        <w:rPr>
          <w:sz w:val="22"/>
          <w:szCs w:val="22"/>
        </w:rPr>
        <w:t>and 32% respectively due to</w:t>
      </w:r>
      <w:r w:rsidR="00AF50A5">
        <w:rPr>
          <w:sz w:val="22"/>
          <w:szCs w:val="22"/>
        </w:rPr>
        <w:t xml:space="preserve"> strong cloud computing demand and new AI announcements</w:t>
      </w:r>
      <w:r w:rsidR="00F7645C">
        <w:rPr>
          <w:sz w:val="22"/>
          <w:szCs w:val="22"/>
        </w:rPr>
        <w:t>.</w:t>
      </w:r>
      <w:r w:rsidR="00F90CB8">
        <w:rPr>
          <w:sz w:val="22"/>
          <w:szCs w:val="22"/>
        </w:rPr>
        <w:t xml:space="preserve"> The Chinese government, as part of its ongoing trade disputes with U.S., took several steps to block </w:t>
      </w:r>
      <w:r w:rsidR="002B3538">
        <w:rPr>
          <w:sz w:val="22"/>
          <w:szCs w:val="22"/>
        </w:rPr>
        <w:t>w</w:t>
      </w:r>
      <w:r w:rsidR="00F90CB8">
        <w:rPr>
          <w:sz w:val="22"/>
          <w:szCs w:val="22"/>
        </w:rPr>
        <w:t xml:space="preserve">estern technologies and support homegrown chip manufacturing, sending most Chinese Tech stocks higher during the period. </w:t>
      </w:r>
    </w:p>
    <w:p w14:paraId="2E50C49A" w14:textId="77777777" w:rsidR="007D3A30" w:rsidRDefault="007D3A30" w:rsidP="000D5B73">
      <w:pPr>
        <w:pStyle w:val="Default"/>
        <w:rPr>
          <w:sz w:val="22"/>
          <w:szCs w:val="22"/>
        </w:rPr>
      </w:pPr>
    </w:p>
    <w:p w14:paraId="763A01AD" w14:textId="25F83DA2" w:rsidR="009F52D9" w:rsidRDefault="009F52D9" w:rsidP="000D5B73">
      <w:pPr>
        <w:pStyle w:val="Default"/>
        <w:rPr>
          <w:sz w:val="22"/>
          <w:szCs w:val="22"/>
        </w:rPr>
      </w:pPr>
      <w:r>
        <w:rPr>
          <w:sz w:val="22"/>
          <w:szCs w:val="22"/>
        </w:rPr>
        <w:t xml:space="preserve">Developed international </w:t>
      </w:r>
      <w:r w:rsidR="00BD5E83">
        <w:rPr>
          <w:sz w:val="22"/>
          <w:szCs w:val="22"/>
        </w:rPr>
        <w:t>s</w:t>
      </w:r>
      <w:r>
        <w:rPr>
          <w:sz w:val="22"/>
          <w:szCs w:val="22"/>
        </w:rPr>
        <w:t xml:space="preserve">tocks posted solid results despite the political upheaval and fiscal concerns </w:t>
      </w:r>
      <w:r w:rsidR="00F90CB8">
        <w:rPr>
          <w:sz w:val="22"/>
          <w:szCs w:val="22"/>
        </w:rPr>
        <w:t xml:space="preserve">plaguing the Eurozone. ASML Holdings, a Netherlands based supplier of key semiconductor manufacturing equipment, advanced 23% in the quarter as orders surged for its photolithography machines. Softbank, the Japanese technology venture company, led Japanese shares with a 74% gain </w:t>
      </w:r>
      <w:r w:rsidR="00F7645C">
        <w:rPr>
          <w:sz w:val="22"/>
          <w:szCs w:val="22"/>
        </w:rPr>
        <w:t>thanks to</w:t>
      </w:r>
      <w:r w:rsidR="006D3577">
        <w:rPr>
          <w:sz w:val="22"/>
          <w:szCs w:val="22"/>
        </w:rPr>
        <w:t xml:space="preserve"> its </w:t>
      </w:r>
      <w:r w:rsidR="00F90CB8">
        <w:rPr>
          <w:sz w:val="22"/>
          <w:szCs w:val="22"/>
        </w:rPr>
        <w:t xml:space="preserve">ongoing investments </w:t>
      </w:r>
      <w:r w:rsidR="006D3577">
        <w:rPr>
          <w:sz w:val="22"/>
          <w:szCs w:val="22"/>
        </w:rPr>
        <w:t>in</w:t>
      </w:r>
      <w:r w:rsidR="00F90CB8">
        <w:rPr>
          <w:sz w:val="22"/>
          <w:szCs w:val="22"/>
        </w:rPr>
        <w:t xml:space="preserve"> OpenAI and multiple other AI related infrastructure vendors</w:t>
      </w:r>
      <w:r w:rsidR="00C1572E">
        <w:rPr>
          <w:sz w:val="22"/>
          <w:szCs w:val="22"/>
        </w:rPr>
        <w:t xml:space="preserve">. Unlike emerging market gains that were more tech dependent, </w:t>
      </w:r>
      <w:r w:rsidR="001704E5">
        <w:rPr>
          <w:sz w:val="22"/>
          <w:szCs w:val="22"/>
        </w:rPr>
        <w:t>developed</w:t>
      </w:r>
      <w:r w:rsidR="00C1572E">
        <w:rPr>
          <w:sz w:val="22"/>
          <w:szCs w:val="22"/>
        </w:rPr>
        <w:t xml:space="preserve"> market stocks advanced across the board with commodities firms, banks, manufacturers, and pharmaceutical companies all posting solid results during the quarter. </w:t>
      </w:r>
    </w:p>
    <w:p w14:paraId="75867562" w14:textId="00E22CE8" w:rsidR="00C056FA" w:rsidRDefault="00C056FA" w:rsidP="00A002B5">
      <w:pPr>
        <w:pStyle w:val="Default"/>
        <w:jc w:val="center"/>
        <w:rPr>
          <w:sz w:val="22"/>
          <w:szCs w:val="22"/>
        </w:rPr>
      </w:pPr>
      <w:r>
        <w:rPr>
          <w:noProof/>
          <w:sz w:val="22"/>
          <w:szCs w:val="22"/>
        </w:rPr>
        <w:lastRenderedPageBreak/>
        <w:drawing>
          <wp:inline distT="0" distB="0" distL="0" distR="0" wp14:anchorId="63A8FD4B" wp14:editId="5DFBF489">
            <wp:extent cx="5620732" cy="3170794"/>
            <wp:effectExtent l="0" t="0" r="0" b="0"/>
            <wp:docPr id="373058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5625" cy="3201760"/>
                    </a:xfrm>
                    <a:prstGeom prst="rect">
                      <a:avLst/>
                    </a:prstGeom>
                    <a:noFill/>
                  </pic:spPr>
                </pic:pic>
              </a:graphicData>
            </a:graphic>
          </wp:inline>
        </w:drawing>
      </w:r>
    </w:p>
    <w:p w14:paraId="7535C473" w14:textId="1F028B89" w:rsidR="00C056FA" w:rsidRDefault="00C056FA" w:rsidP="00192DB2">
      <w:pPr>
        <w:pStyle w:val="Default"/>
        <w:rPr>
          <w:sz w:val="22"/>
          <w:szCs w:val="22"/>
        </w:rPr>
      </w:pPr>
      <w:r w:rsidRPr="00580079">
        <w:rPr>
          <w:i/>
          <w:iCs/>
          <w:sz w:val="20"/>
          <w:szCs w:val="20"/>
        </w:rPr>
        <w:t>Source: Bloomberg</w:t>
      </w:r>
    </w:p>
    <w:p w14:paraId="04C23A24" w14:textId="77777777" w:rsidR="00ED27DB" w:rsidRDefault="00ED27DB" w:rsidP="00C056FA">
      <w:pPr>
        <w:pStyle w:val="Default"/>
        <w:jc w:val="center"/>
        <w:rPr>
          <w:b/>
          <w:bCs/>
          <w:sz w:val="22"/>
          <w:szCs w:val="22"/>
          <w:u w:val="single"/>
        </w:rPr>
      </w:pPr>
    </w:p>
    <w:p w14:paraId="2304CA42" w14:textId="32871F22" w:rsidR="00C056FA" w:rsidRDefault="00C056FA" w:rsidP="00C056FA">
      <w:pPr>
        <w:pStyle w:val="Default"/>
        <w:jc w:val="center"/>
        <w:rPr>
          <w:b/>
          <w:bCs/>
          <w:sz w:val="22"/>
          <w:szCs w:val="22"/>
          <w:u w:val="single"/>
        </w:rPr>
      </w:pPr>
      <w:r>
        <w:rPr>
          <w:b/>
          <w:bCs/>
          <w:sz w:val="22"/>
          <w:szCs w:val="22"/>
          <w:u w:val="single"/>
        </w:rPr>
        <w:t>Fixed Income Markets</w:t>
      </w:r>
    </w:p>
    <w:p w14:paraId="651A561A" w14:textId="77777777" w:rsidR="00C056FA" w:rsidRDefault="00C056FA" w:rsidP="00192DB2">
      <w:pPr>
        <w:pStyle w:val="Default"/>
        <w:rPr>
          <w:sz w:val="22"/>
          <w:szCs w:val="22"/>
        </w:rPr>
      </w:pPr>
    </w:p>
    <w:p w14:paraId="3A37137D" w14:textId="031CCEA0" w:rsidR="00B1309A" w:rsidRDefault="00A002B5" w:rsidP="00AF3310">
      <w:pPr>
        <w:spacing w:after="0" w:line="240" w:lineRule="auto"/>
        <w:rPr>
          <w:rFonts w:ascii="Times New Roman" w:hAnsi="Times New Roman" w:cs="Times New Roman"/>
          <w:noProof/>
        </w:rPr>
      </w:pPr>
      <w:r>
        <w:rPr>
          <w:rFonts w:ascii="Times New Roman" w:hAnsi="Times New Roman" w:cs="Times New Roman"/>
          <w:noProof/>
        </w:rPr>
        <w:t xml:space="preserve">The Treasury yield curve continued its “Bear Steepener” trend during the third quarter, with short rates continuing to drop in anticipation of Federal Reserve rate cuts while intermediate and longer term yields </w:t>
      </w:r>
      <w:r w:rsidR="009A7EF6">
        <w:rPr>
          <w:rFonts w:ascii="Times New Roman" w:hAnsi="Times New Roman" w:cs="Times New Roman"/>
          <w:noProof/>
        </w:rPr>
        <w:t>holding</w:t>
      </w:r>
      <w:r>
        <w:rPr>
          <w:rFonts w:ascii="Times New Roman" w:hAnsi="Times New Roman" w:cs="Times New Roman"/>
          <w:noProof/>
        </w:rPr>
        <w:t xml:space="preserve"> steady. </w:t>
      </w:r>
    </w:p>
    <w:p w14:paraId="476CC324" w14:textId="77777777" w:rsidR="00ED27DB" w:rsidRDefault="00ED27DB" w:rsidP="00AF3310">
      <w:pPr>
        <w:spacing w:after="0" w:line="240" w:lineRule="auto"/>
        <w:rPr>
          <w:rFonts w:ascii="Times New Roman" w:hAnsi="Times New Roman" w:cs="Times New Roman"/>
          <w:noProof/>
        </w:rPr>
      </w:pPr>
    </w:p>
    <w:p w14:paraId="7C423844" w14:textId="3520CE94" w:rsidR="003F70D1" w:rsidRDefault="00A002B5" w:rsidP="00D11AE5">
      <w:pPr>
        <w:spacing w:after="0" w:line="240" w:lineRule="auto"/>
        <w:jc w:val="center"/>
        <w:rPr>
          <w:rFonts w:ascii="Times New Roman" w:hAnsi="Times New Roman" w:cs="Times New Roman"/>
          <w:noProof/>
        </w:rPr>
      </w:pPr>
      <w:r>
        <w:rPr>
          <w:rFonts w:ascii="Times New Roman" w:hAnsi="Times New Roman" w:cs="Times New Roman"/>
          <w:noProof/>
        </w:rPr>
        <w:drawing>
          <wp:inline distT="0" distB="0" distL="0" distR="0" wp14:anchorId="3DED7857" wp14:editId="2992DA64">
            <wp:extent cx="5393478" cy="3619500"/>
            <wp:effectExtent l="0" t="0" r="0" b="0"/>
            <wp:docPr id="977037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1964" cy="3645328"/>
                    </a:xfrm>
                    <a:prstGeom prst="rect">
                      <a:avLst/>
                    </a:prstGeom>
                    <a:noFill/>
                  </pic:spPr>
                </pic:pic>
              </a:graphicData>
            </a:graphic>
          </wp:inline>
        </w:drawing>
      </w:r>
    </w:p>
    <w:p w14:paraId="65E2F2C8" w14:textId="6125DB19" w:rsidR="00F0611E" w:rsidRPr="00580079" w:rsidRDefault="00F0611E" w:rsidP="00B1309A">
      <w:pPr>
        <w:spacing w:after="0" w:line="240" w:lineRule="auto"/>
        <w:ind w:firstLine="720"/>
        <w:rPr>
          <w:rFonts w:ascii="Times New Roman" w:hAnsi="Times New Roman" w:cs="Times New Roman"/>
          <w:b/>
          <w:bCs/>
          <w:sz w:val="20"/>
          <w:szCs w:val="20"/>
          <w:u w:val="single"/>
        </w:rPr>
      </w:pPr>
      <w:r w:rsidRPr="00580079">
        <w:rPr>
          <w:rFonts w:ascii="Times New Roman" w:hAnsi="Times New Roman" w:cs="Times New Roman"/>
          <w:i/>
          <w:iCs/>
          <w:sz w:val="20"/>
          <w:szCs w:val="20"/>
        </w:rPr>
        <w:t>Source: Bloomberg</w:t>
      </w:r>
    </w:p>
    <w:p w14:paraId="4F5E2C77" w14:textId="0E9CFF37" w:rsidR="00F30FD4" w:rsidRDefault="00A070DF" w:rsidP="00A33302">
      <w:pPr>
        <w:pStyle w:val="Default"/>
        <w:rPr>
          <w:sz w:val="22"/>
          <w:szCs w:val="22"/>
        </w:rPr>
      </w:pPr>
      <w:r>
        <w:rPr>
          <w:sz w:val="22"/>
          <w:szCs w:val="22"/>
        </w:rPr>
        <w:lastRenderedPageBreak/>
        <w:t>We have discussed previously the Federal Reserve’s struggle to balance its dual mandate of stable prices and full employmen</w:t>
      </w:r>
      <w:r w:rsidR="009A7EF6">
        <w:rPr>
          <w:sz w:val="22"/>
          <w:szCs w:val="22"/>
        </w:rPr>
        <w:t>t</w:t>
      </w:r>
      <w:r w:rsidR="007B7A7D">
        <w:rPr>
          <w:sz w:val="22"/>
          <w:szCs w:val="22"/>
        </w:rPr>
        <w:t xml:space="preserve">, with recently resurgent inflationary indicators </w:t>
      </w:r>
      <w:r w:rsidR="00ED27DB">
        <w:rPr>
          <w:sz w:val="22"/>
          <w:szCs w:val="22"/>
        </w:rPr>
        <w:t>tying its</w:t>
      </w:r>
      <w:r w:rsidR="007B7A7D">
        <w:rPr>
          <w:sz w:val="22"/>
          <w:szCs w:val="22"/>
        </w:rPr>
        <w:t xml:space="preserve"> hand</w:t>
      </w:r>
      <w:r w:rsidR="00ED27DB">
        <w:rPr>
          <w:sz w:val="22"/>
          <w:szCs w:val="22"/>
        </w:rPr>
        <w:t>s</w:t>
      </w:r>
      <w:r w:rsidR="007B7A7D">
        <w:rPr>
          <w:sz w:val="22"/>
          <w:szCs w:val="22"/>
        </w:rPr>
        <w:t xml:space="preserve"> despite signs of </w:t>
      </w:r>
      <w:r w:rsidR="00ED27DB">
        <w:rPr>
          <w:sz w:val="22"/>
          <w:szCs w:val="22"/>
        </w:rPr>
        <w:t>a labor</w:t>
      </w:r>
      <w:r w:rsidR="007B7A7D">
        <w:rPr>
          <w:sz w:val="22"/>
          <w:szCs w:val="22"/>
        </w:rPr>
        <w:t xml:space="preserve"> market</w:t>
      </w:r>
      <w:r w:rsidR="00ED27DB">
        <w:rPr>
          <w:sz w:val="22"/>
          <w:szCs w:val="22"/>
        </w:rPr>
        <w:t xml:space="preserve"> slowdown</w:t>
      </w:r>
      <w:r w:rsidR="009A7EF6">
        <w:rPr>
          <w:sz w:val="22"/>
          <w:szCs w:val="22"/>
        </w:rPr>
        <w:t xml:space="preserve">. </w:t>
      </w:r>
      <w:r w:rsidR="007B7A7D">
        <w:rPr>
          <w:sz w:val="22"/>
          <w:szCs w:val="22"/>
        </w:rPr>
        <w:t xml:space="preserve">Hiring and unemployment </w:t>
      </w:r>
      <w:r w:rsidR="009A7EF6">
        <w:rPr>
          <w:sz w:val="22"/>
          <w:szCs w:val="22"/>
        </w:rPr>
        <w:t xml:space="preserve">data showed further </w:t>
      </w:r>
      <w:r w:rsidR="007B7A7D">
        <w:rPr>
          <w:sz w:val="22"/>
          <w:szCs w:val="22"/>
        </w:rPr>
        <w:t xml:space="preserve">deterioration through the summer, </w:t>
      </w:r>
      <w:r w:rsidR="00ED27DB">
        <w:rPr>
          <w:sz w:val="22"/>
          <w:szCs w:val="22"/>
        </w:rPr>
        <w:t xml:space="preserve">however, </w:t>
      </w:r>
      <w:r w:rsidR="007B7A7D">
        <w:rPr>
          <w:sz w:val="22"/>
          <w:szCs w:val="22"/>
        </w:rPr>
        <w:t>and</w:t>
      </w:r>
      <w:r w:rsidR="00ED27DB">
        <w:rPr>
          <w:sz w:val="22"/>
          <w:szCs w:val="22"/>
        </w:rPr>
        <w:t xml:space="preserve"> previous job reports were revised downward to reflect a much more pronounced slowdown in the job market starting in the first months of the year. The </w:t>
      </w:r>
      <w:r w:rsidR="009A7EF6">
        <w:rPr>
          <w:sz w:val="22"/>
          <w:szCs w:val="22"/>
        </w:rPr>
        <w:t>Fed</w:t>
      </w:r>
      <w:r w:rsidR="007B7A7D">
        <w:rPr>
          <w:sz w:val="22"/>
          <w:szCs w:val="22"/>
        </w:rPr>
        <w:t>eral Reserve</w:t>
      </w:r>
      <w:r w:rsidR="009A7EF6">
        <w:rPr>
          <w:sz w:val="22"/>
          <w:szCs w:val="22"/>
        </w:rPr>
        <w:t xml:space="preserve"> enacted a quarter point rate cut during its September </w:t>
      </w:r>
      <w:r w:rsidR="00F7645C">
        <w:rPr>
          <w:sz w:val="22"/>
          <w:szCs w:val="22"/>
        </w:rPr>
        <w:t>meeting and</w:t>
      </w:r>
      <w:r w:rsidR="00ED27DB">
        <w:rPr>
          <w:sz w:val="22"/>
          <w:szCs w:val="22"/>
        </w:rPr>
        <w:t xml:space="preserve"> adjusted its dot plot interest rate forecast to reflect greater probability of further rate cuts over the </w:t>
      </w:r>
      <w:proofErr w:type="gramStart"/>
      <w:r w:rsidR="00F7645C">
        <w:rPr>
          <w:sz w:val="22"/>
          <w:szCs w:val="22"/>
        </w:rPr>
        <w:t>near-term</w:t>
      </w:r>
      <w:proofErr w:type="gramEnd"/>
      <w:r w:rsidR="00ED27DB">
        <w:rPr>
          <w:sz w:val="22"/>
          <w:szCs w:val="22"/>
        </w:rPr>
        <w:t xml:space="preserve">.  </w:t>
      </w:r>
    </w:p>
    <w:p w14:paraId="1F051644" w14:textId="77777777" w:rsidR="00F17678" w:rsidRDefault="00F17678" w:rsidP="00A33302">
      <w:pPr>
        <w:pStyle w:val="Default"/>
        <w:rPr>
          <w:sz w:val="22"/>
          <w:szCs w:val="22"/>
        </w:rPr>
      </w:pPr>
    </w:p>
    <w:p w14:paraId="7109EF28" w14:textId="1C065B9A" w:rsidR="00ED34F9" w:rsidRDefault="00ED27DB" w:rsidP="00ED34F9">
      <w:pPr>
        <w:pStyle w:val="Default"/>
        <w:jc w:val="center"/>
        <w:rPr>
          <w:b/>
          <w:bCs/>
          <w:sz w:val="22"/>
          <w:szCs w:val="22"/>
          <w:u w:val="single"/>
        </w:rPr>
      </w:pPr>
      <w:r>
        <w:rPr>
          <w:b/>
          <w:bCs/>
          <w:sz w:val="22"/>
          <w:szCs w:val="22"/>
          <w:u w:val="single"/>
        </w:rPr>
        <w:t xml:space="preserve">Pondering </w:t>
      </w:r>
      <w:r w:rsidR="004109E4">
        <w:rPr>
          <w:b/>
          <w:bCs/>
          <w:sz w:val="22"/>
          <w:szCs w:val="22"/>
          <w:u w:val="single"/>
        </w:rPr>
        <w:t>an</w:t>
      </w:r>
      <w:r>
        <w:rPr>
          <w:b/>
          <w:bCs/>
          <w:sz w:val="22"/>
          <w:szCs w:val="22"/>
          <w:u w:val="single"/>
        </w:rPr>
        <w:t xml:space="preserve"> Artificial Intelligence Bubble</w:t>
      </w:r>
    </w:p>
    <w:p w14:paraId="6BB8AE07" w14:textId="77777777" w:rsidR="00214273" w:rsidRDefault="00214273" w:rsidP="00ED34F9">
      <w:pPr>
        <w:pStyle w:val="Default"/>
        <w:jc w:val="center"/>
        <w:rPr>
          <w:b/>
          <w:bCs/>
          <w:sz w:val="22"/>
          <w:szCs w:val="22"/>
          <w:u w:val="single"/>
        </w:rPr>
      </w:pPr>
    </w:p>
    <w:p w14:paraId="42601845" w14:textId="10FF954C" w:rsidR="00214273" w:rsidRDefault="004109E4" w:rsidP="00214273">
      <w:pPr>
        <w:pStyle w:val="Default"/>
        <w:rPr>
          <w:sz w:val="22"/>
          <w:szCs w:val="22"/>
        </w:rPr>
      </w:pPr>
      <w:r>
        <w:rPr>
          <w:sz w:val="22"/>
          <w:szCs w:val="22"/>
        </w:rPr>
        <w:t xml:space="preserve">The torrid performance of AI related stocks during the quarter, primarily based on increasingly large capital expenditures that are not currently funded and do not have a clear near-term payoff, once again stoked fears of a </w:t>
      </w:r>
      <w:r w:rsidR="003A5357">
        <w:rPr>
          <w:sz w:val="22"/>
          <w:szCs w:val="22"/>
        </w:rPr>
        <w:t xml:space="preserve">financial </w:t>
      </w:r>
      <w:r>
        <w:rPr>
          <w:sz w:val="22"/>
          <w:szCs w:val="22"/>
        </w:rPr>
        <w:t xml:space="preserve">bubble in this section of </w:t>
      </w:r>
      <w:r w:rsidR="003A5357">
        <w:rPr>
          <w:sz w:val="22"/>
          <w:szCs w:val="22"/>
        </w:rPr>
        <w:t>the stock</w:t>
      </w:r>
      <w:r>
        <w:rPr>
          <w:sz w:val="22"/>
          <w:szCs w:val="22"/>
        </w:rPr>
        <w:t xml:space="preserve"> market. The </w:t>
      </w:r>
      <w:r w:rsidR="003A5357">
        <w:rPr>
          <w:sz w:val="22"/>
          <w:szCs w:val="22"/>
        </w:rPr>
        <w:t xml:space="preserve">internet </w:t>
      </w:r>
      <w:r>
        <w:rPr>
          <w:sz w:val="22"/>
          <w:szCs w:val="22"/>
        </w:rPr>
        <w:t xml:space="preserve">search term “AI Bubble” exploded in volume through the third quarter per Google Trends.  The Bank of American Fund Manager survey </w:t>
      </w:r>
      <w:r w:rsidR="00132E21">
        <w:rPr>
          <w:sz w:val="22"/>
          <w:szCs w:val="22"/>
        </w:rPr>
        <w:t xml:space="preserve">showed </w:t>
      </w:r>
      <w:r>
        <w:rPr>
          <w:sz w:val="22"/>
          <w:szCs w:val="22"/>
        </w:rPr>
        <w:t>a majority of respondents</w:t>
      </w:r>
      <w:r w:rsidR="00CA39CB">
        <w:rPr>
          <w:sz w:val="22"/>
          <w:szCs w:val="22"/>
        </w:rPr>
        <w:t xml:space="preserve"> agreeing that we are currently in an AI Bubble. Tech luminaries ranging from Bill Gates to Jeff Bezos to OpenAI founder Sam Altman all went on record during the quarter stating that we are indeed in an AI Bubble</w:t>
      </w:r>
      <w:r w:rsidR="00F7645C">
        <w:rPr>
          <w:sz w:val="22"/>
          <w:szCs w:val="22"/>
        </w:rPr>
        <w:t>,</w:t>
      </w:r>
      <w:r w:rsidR="00CA39CB">
        <w:rPr>
          <w:sz w:val="22"/>
          <w:szCs w:val="22"/>
        </w:rPr>
        <w:t xml:space="preserve"> and many investors will experience significant losses as a result. </w:t>
      </w:r>
    </w:p>
    <w:p w14:paraId="5ADE820C" w14:textId="77777777" w:rsidR="00CA39CB" w:rsidRDefault="00CA39CB" w:rsidP="00214273">
      <w:pPr>
        <w:pStyle w:val="Default"/>
        <w:rPr>
          <w:sz w:val="22"/>
          <w:szCs w:val="22"/>
        </w:rPr>
      </w:pPr>
    </w:p>
    <w:p w14:paraId="3C95A9B6" w14:textId="5CFB673B" w:rsidR="00CA39CB" w:rsidRDefault="00CA39CB" w:rsidP="00214273">
      <w:pPr>
        <w:pStyle w:val="Default"/>
        <w:rPr>
          <w:sz w:val="22"/>
          <w:szCs w:val="22"/>
        </w:rPr>
      </w:pPr>
      <w:r>
        <w:rPr>
          <w:sz w:val="22"/>
          <w:szCs w:val="22"/>
        </w:rPr>
        <w:t>Given th</w:t>
      </w:r>
      <w:r w:rsidR="00132E21">
        <w:rPr>
          <w:sz w:val="22"/>
          <w:szCs w:val="22"/>
        </w:rPr>
        <w:t>is</w:t>
      </w:r>
      <w:r>
        <w:rPr>
          <w:sz w:val="22"/>
          <w:szCs w:val="22"/>
        </w:rPr>
        <w:t xml:space="preserve"> widespread</w:t>
      </w:r>
      <w:r w:rsidR="00132E21">
        <w:rPr>
          <w:sz w:val="22"/>
          <w:szCs w:val="22"/>
        </w:rPr>
        <w:t xml:space="preserve"> concern</w:t>
      </w:r>
      <w:r>
        <w:rPr>
          <w:sz w:val="22"/>
          <w:szCs w:val="22"/>
        </w:rPr>
        <w:t xml:space="preserve">, it is helpful to explain the </w:t>
      </w:r>
      <w:r w:rsidR="00132E21">
        <w:rPr>
          <w:sz w:val="22"/>
          <w:szCs w:val="22"/>
        </w:rPr>
        <w:t>most common</w:t>
      </w:r>
      <w:r>
        <w:rPr>
          <w:sz w:val="22"/>
          <w:szCs w:val="22"/>
        </w:rPr>
        <w:t xml:space="preserve"> definition of an asset pricing bubble and map how the current backdrop fits with that model. </w:t>
      </w:r>
      <w:r w:rsidR="00132E21">
        <w:rPr>
          <w:sz w:val="22"/>
          <w:szCs w:val="22"/>
        </w:rPr>
        <w:t xml:space="preserve">While there is no universally accepted academic definition of an asset bubble, most adopt the early </w:t>
      </w:r>
      <w:r w:rsidR="00E2598F">
        <w:rPr>
          <w:sz w:val="22"/>
          <w:szCs w:val="22"/>
        </w:rPr>
        <w:t>20</w:t>
      </w:r>
      <w:r w:rsidR="00E2598F" w:rsidRPr="00E2598F">
        <w:rPr>
          <w:sz w:val="22"/>
          <w:szCs w:val="22"/>
          <w:vertAlign w:val="superscript"/>
        </w:rPr>
        <w:t>th</w:t>
      </w:r>
      <w:r w:rsidR="00E2598F">
        <w:rPr>
          <w:sz w:val="22"/>
          <w:szCs w:val="22"/>
        </w:rPr>
        <w:t xml:space="preserve"> Century </w:t>
      </w:r>
      <w:r w:rsidR="00132E21">
        <w:rPr>
          <w:sz w:val="22"/>
          <w:szCs w:val="22"/>
        </w:rPr>
        <w:t xml:space="preserve">work of economist Hyman Minsky </w:t>
      </w:r>
      <w:r w:rsidR="00E2598F">
        <w:rPr>
          <w:sz w:val="22"/>
          <w:szCs w:val="22"/>
        </w:rPr>
        <w:t xml:space="preserve">that was refined and documented in Economic Historian Charles Kindleberger’s 1978 book </w:t>
      </w:r>
      <w:r w:rsidR="00E2598F" w:rsidRPr="00E2598F">
        <w:rPr>
          <w:i/>
          <w:iCs/>
          <w:sz w:val="22"/>
          <w:szCs w:val="22"/>
        </w:rPr>
        <w:t>“Manias, Panics, and Crashes: A History of Financial Crises.”</w:t>
      </w:r>
      <w:r w:rsidR="00E2598F">
        <w:rPr>
          <w:sz w:val="22"/>
          <w:szCs w:val="22"/>
        </w:rPr>
        <w:t xml:space="preserve"> The book </w:t>
      </w:r>
      <w:r w:rsidR="00407E41">
        <w:rPr>
          <w:sz w:val="22"/>
          <w:szCs w:val="22"/>
        </w:rPr>
        <w:t xml:space="preserve">breaks down historical asset bubbles into component parts and </w:t>
      </w:r>
      <w:r w:rsidR="00E2598F">
        <w:rPr>
          <w:sz w:val="22"/>
          <w:szCs w:val="22"/>
        </w:rPr>
        <w:t xml:space="preserve">establishes a repeating cycle that occurs </w:t>
      </w:r>
      <w:r w:rsidR="00407E41">
        <w:rPr>
          <w:sz w:val="22"/>
          <w:szCs w:val="22"/>
        </w:rPr>
        <w:t>both due to human psychology and the excess flow of funds into low-returning or value destroying projects. It goes as follows:</w:t>
      </w:r>
    </w:p>
    <w:p w14:paraId="3BDF3E34" w14:textId="77777777" w:rsidR="00407E41" w:rsidRDefault="00407E41" w:rsidP="00214273">
      <w:pPr>
        <w:pStyle w:val="Default"/>
        <w:rPr>
          <w:sz w:val="22"/>
          <w:szCs w:val="22"/>
        </w:rPr>
      </w:pPr>
    </w:p>
    <w:tbl>
      <w:tblPr>
        <w:tblStyle w:val="TableGrid"/>
        <w:tblW w:w="0" w:type="auto"/>
        <w:tblLook w:val="04A0" w:firstRow="1" w:lastRow="0" w:firstColumn="1" w:lastColumn="0" w:noHBand="0" w:noVBand="1"/>
      </w:tblPr>
      <w:tblGrid>
        <w:gridCol w:w="4675"/>
        <w:gridCol w:w="4675"/>
      </w:tblGrid>
      <w:tr w:rsidR="00407E41" w14:paraId="234FB03E" w14:textId="77777777" w:rsidTr="00495B9A">
        <w:tc>
          <w:tcPr>
            <w:tcW w:w="4675" w:type="dxa"/>
            <w:shd w:val="clear" w:color="auto" w:fill="B4C6E7" w:themeFill="accent5" w:themeFillTint="66"/>
          </w:tcPr>
          <w:p w14:paraId="753EF7C6" w14:textId="438E7A53" w:rsidR="00407E41" w:rsidRPr="00495B9A" w:rsidRDefault="00407E41" w:rsidP="00407E41">
            <w:pPr>
              <w:pStyle w:val="Default"/>
              <w:jc w:val="center"/>
              <w:rPr>
                <w:b/>
                <w:bCs/>
                <w:sz w:val="22"/>
                <w:szCs w:val="22"/>
              </w:rPr>
            </w:pPr>
            <w:r w:rsidRPr="00495B9A">
              <w:rPr>
                <w:b/>
                <w:bCs/>
                <w:sz w:val="22"/>
                <w:szCs w:val="22"/>
              </w:rPr>
              <w:t>Phase</w:t>
            </w:r>
          </w:p>
        </w:tc>
        <w:tc>
          <w:tcPr>
            <w:tcW w:w="4675" w:type="dxa"/>
            <w:shd w:val="clear" w:color="auto" w:fill="B4C6E7" w:themeFill="accent5" w:themeFillTint="66"/>
          </w:tcPr>
          <w:p w14:paraId="0BB469E8" w14:textId="6BD8D0C6" w:rsidR="00407E41" w:rsidRPr="00495B9A" w:rsidRDefault="00407E41" w:rsidP="00407E41">
            <w:pPr>
              <w:pStyle w:val="Default"/>
              <w:jc w:val="center"/>
              <w:rPr>
                <w:b/>
                <w:bCs/>
                <w:sz w:val="22"/>
                <w:szCs w:val="22"/>
              </w:rPr>
            </w:pPr>
            <w:r w:rsidRPr="00495B9A">
              <w:rPr>
                <w:b/>
                <w:bCs/>
                <w:sz w:val="22"/>
                <w:szCs w:val="22"/>
              </w:rPr>
              <w:t>Description</w:t>
            </w:r>
          </w:p>
        </w:tc>
      </w:tr>
      <w:tr w:rsidR="00407E41" w14:paraId="5E9A501B" w14:textId="77777777" w:rsidTr="00B23505">
        <w:trPr>
          <w:trHeight w:val="720"/>
        </w:trPr>
        <w:tc>
          <w:tcPr>
            <w:tcW w:w="4675" w:type="dxa"/>
          </w:tcPr>
          <w:p w14:paraId="35C47545" w14:textId="77777777" w:rsidR="006A5978" w:rsidRDefault="006A5978" w:rsidP="006A5978">
            <w:pPr>
              <w:pStyle w:val="Default"/>
              <w:ind w:left="720"/>
              <w:rPr>
                <w:sz w:val="22"/>
                <w:szCs w:val="22"/>
              </w:rPr>
            </w:pPr>
          </w:p>
          <w:p w14:paraId="4328EE86" w14:textId="3F1578B4" w:rsidR="00407E41" w:rsidRDefault="00407E41" w:rsidP="00407E41">
            <w:pPr>
              <w:pStyle w:val="Default"/>
              <w:numPr>
                <w:ilvl w:val="0"/>
                <w:numId w:val="11"/>
              </w:numPr>
              <w:rPr>
                <w:sz w:val="22"/>
                <w:szCs w:val="22"/>
              </w:rPr>
            </w:pPr>
            <w:r>
              <w:rPr>
                <w:sz w:val="22"/>
                <w:szCs w:val="22"/>
              </w:rPr>
              <w:t>New opportunity</w:t>
            </w:r>
          </w:p>
        </w:tc>
        <w:tc>
          <w:tcPr>
            <w:tcW w:w="4675" w:type="dxa"/>
          </w:tcPr>
          <w:p w14:paraId="7117BA8B" w14:textId="77777777" w:rsidR="006A5978" w:rsidRDefault="006A5978" w:rsidP="00214273">
            <w:pPr>
              <w:pStyle w:val="Default"/>
              <w:rPr>
                <w:sz w:val="22"/>
                <w:szCs w:val="22"/>
              </w:rPr>
            </w:pPr>
          </w:p>
          <w:p w14:paraId="4F402117" w14:textId="5A73E1F0" w:rsidR="00407E41" w:rsidRDefault="00407E41" w:rsidP="00214273">
            <w:pPr>
              <w:pStyle w:val="Default"/>
              <w:rPr>
                <w:sz w:val="22"/>
                <w:szCs w:val="22"/>
              </w:rPr>
            </w:pPr>
            <w:r>
              <w:rPr>
                <w:sz w:val="22"/>
                <w:szCs w:val="22"/>
              </w:rPr>
              <w:t xml:space="preserve">Technological advancements </w:t>
            </w:r>
            <w:r w:rsidR="006A5978">
              <w:rPr>
                <w:sz w:val="22"/>
                <w:szCs w:val="22"/>
              </w:rPr>
              <w:t>drive</w:t>
            </w:r>
            <w:r>
              <w:rPr>
                <w:sz w:val="22"/>
                <w:szCs w:val="22"/>
              </w:rPr>
              <w:t xml:space="preserve"> investor interest in new profit opportunities</w:t>
            </w:r>
          </w:p>
          <w:p w14:paraId="145366C5" w14:textId="0A750B07" w:rsidR="00407E41" w:rsidRDefault="00407E41" w:rsidP="00214273">
            <w:pPr>
              <w:pStyle w:val="Default"/>
              <w:rPr>
                <w:sz w:val="22"/>
                <w:szCs w:val="22"/>
              </w:rPr>
            </w:pPr>
          </w:p>
        </w:tc>
      </w:tr>
      <w:tr w:rsidR="00407E41" w14:paraId="57D41F59" w14:textId="77777777" w:rsidTr="00B23505">
        <w:trPr>
          <w:trHeight w:val="720"/>
        </w:trPr>
        <w:tc>
          <w:tcPr>
            <w:tcW w:w="4675" w:type="dxa"/>
          </w:tcPr>
          <w:p w14:paraId="11E55277" w14:textId="77777777" w:rsidR="006A5978" w:rsidRDefault="006A5978" w:rsidP="006A5978">
            <w:pPr>
              <w:pStyle w:val="Default"/>
              <w:ind w:left="720"/>
              <w:rPr>
                <w:sz w:val="22"/>
                <w:szCs w:val="22"/>
              </w:rPr>
            </w:pPr>
          </w:p>
          <w:p w14:paraId="61001305" w14:textId="3EA4982B" w:rsidR="00407E41" w:rsidRDefault="006A5978" w:rsidP="00407E41">
            <w:pPr>
              <w:pStyle w:val="Default"/>
              <w:numPr>
                <w:ilvl w:val="0"/>
                <w:numId w:val="11"/>
              </w:numPr>
              <w:rPr>
                <w:sz w:val="22"/>
                <w:szCs w:val="22"/>
              </w:rPr>
            </w:pPr>
            <w:r>
              <w:rPr>
                <w:sz w:val="22"/>
                <w:szCs w:val="22"/>
              </w:rPr>
              <w:t xml:space="preserve">Financing </w:t>
            </w:r>
            <w:r w:rsidR="004B16C2">
              <w:rPr>
                <w:sz w:val="22"/>
                <w:szCs w:val="22"/>
              </w:rPr>
              <w:t xml:space="preserve">underwrites </w:t>
            </w:r>
            <w:r>
              <w:rPr>
                <w:sz w:val="22"/>
                <w:szCs w:val="22"/>
              </w:rPr>
              <w:t>broad based investment</w:t>
            </w:r>
          </w:p>
        </w:tc>
        <w:tc>
          <w:tcPr>
            <w:tcW w:w="4675" w:type="dxa"/>
          </w:tcPr>
          <w:p w14:paraId="0631D97D" w14:textId="77777777" w:rsidR="006A5978" w:rsidRDefault="006A5978" w:rsidP="00214273">
            <w:pPr>
              <w:pStyle w:val="Default"/>
              <w:rPr>
                <w:sz w:val="22"/>
                <w:szCs w:val="22"/>
              </w:rPr>
            </w:pPr>
          </w:p>
          <w:p w14:paraId="4B9E9D43" w14:textId="77777777" w:rsidR="006A5978" w:rsidRDefault="00495B9A" w:rsidP="00495B9A">
            <w:pPr>
              <w:pStyle w:val="Default"/>
              <w:rPr>
                <w:sz w:val="22"/>
                <w:szCs w:val="22"/>
              </w:rPr>
            </w:pPr>
            <w:r>
              <w:rPr>
                <w:sz w:val="22"/>
                <w:szCs w:val="22"/>
              </w:rPr>
              <w:t xml:space="preserve">Banks, </w:t>
            </w:r>
            <w:r w:rsidR="006A5978">
              <w:rPr>
                <w:sz w:val="22"/>
                <w:szCs w:val="22"/>
              </w:rPr>
              <w:t>private capital</w:t>
            </w:r>
            <w:r>
              <w:rPr>
                <w:sz w:val="22"/>
                <w:szCs w:val="22"/>
              </w:rPr>
              <w:t xml:space="preserve">, </w:t>
            </w:r>
            <w:r w:rsidR="006A5978">
              <w:rPr>
                <w:sz w:val="22"/>
                <w:szCs w:val="22"/>
              </w:rPr>
              <w:t>and venture funds spur excessive investment in multiple ventures</w:t>
            </w:r>
            <w:r>
              <w:rPr>
                <w:sz w:val="22"/>
                <w:szCs w:val="22"/>
              </w:rPr>
              <w:t>.</w:t>
            </w:r>
          </w:p>
          <w:p w14:paraId="5AE68048" w14:textId="329C3D3D" w:rsidR="00495B9A" w:rsidRDefault="00495B9A" w:rsidP="00495B9A">
            <w:pPr>
              <w:pStyle w:val="Default"/>
              <w:rPr>
                <w:sz w:val="22"/>
                <w:szCs w:val="22"/>
              </w:rPr>
            </w:pPr>
          </w:p>
        </w:tc>
      </w:tr>
      <w:tr w:rsidR="00407E41" w14:paraId="1C22BB16" w14:textId="77777777" w:rsidTr="00B23505">
        <w:trPr>
          <w:trHeight w:val="720"/>
        </w:trPr>
        <w:tc>
          <w:tcPr>
            <w:tcW w:w="4675" w:type="dxa"/>
          </w:tcPr>
          <w:p w14:paraId="50F8E240" w14:textId="77777777" w:rsidR="006A5978" w:rsidRDefault="006A5978" w:rsidP="006A5978">
            <w:pPr>
              <w:pStyle w:val="Default"/>
              <w:ind w:left="720"/>
              <w:rPr>
                <w:sz w:val="22"/>
                <w:szCs w:val="22"/>
              </w:rPr>
            </w:pPr>
          </w:p>
          <w:p w14:paraId="7FC38753" w14:textId="09A318BE" w:rsidR="00407E41" w:rsidRDefault="006A5978" w:rsidP="006A5978">
            <w:pPr>
              <w:pStyle w:val="Default"/>
              <w:numPr>
                <w:ilvl w:val="0"/>
                <w:numId w:val="11"/>
              </w:numPr>
              <w:rPr>
                <w:sz w:val="22"/>
                <w:szCs w:val="22"/>
              </w:rPr>
            </w:pPr>
            <w:r>
              <w:rPr>
                <w:sz w:val="22"/>
                <w:szCs w:val="22"/>
              </w:rPr>
              <w:t>Investor Euphoria</w:t>
            </w:r>
          </w:p>
        </w:tc>
        <w:tc>
          <w:tcPr>
            <w:tcW w:w="4675" w:type="dxa"/>
          </w:tcPr>
          <w:p w14:paraId="39320CA8" w14:textId="77777777" w:rsidR="006A5978" w:rsidRDefault="006A5978" w:rsidP="00214273">
            <w:pPr>
              <w:pStyle w:val="Default"/>
              <w:rPr>
                <w:sz w:val="22"/>
                <w:szCs w:val="22"/>
              </w:rPr>
            </w:pPr>
          </w:p>
          <w:p w14:paraId="230054D3" w14:textId="77777777" w:rsidR="00407E41" w:rsidRDefault="006A5978" w:rsidP="00214273">
            <w:pPr>
              <w:pStyle w:val="Default"/>
              <w:rPr>
                <w:sz w:val="22"/>
                <w:szCs w:val="22"/>
              </w:rPr>
            </w:pPr>
            <w:r>
              <w:rPr>
                <w:sz w:val="22"/>
                <w:szCs w:val="22"/>
              </w:rPr>
              <w:t>Fear of Missing Out (“FOMO”) drives broad-based chasing of trends by both retail and institutional investors</w:t>
            </w:r>
          </w:p>
          <w:p w14:paraId="0B2B6DDF" w14:textId="6E3EE925" w:rsidR="00495B9A" w:rsidRDefault="00495B9A" w:rsidP="00214273">
            <w:pPr>
              <w:pStyle w:val="Default"/>
              <w:rPr>
                <w:sz w:val="22"/>
                <w:szCs w:val="22"/>
              </w:rPr>
            </w:pPr>
          </w:p>
        </w:tc>
      </w:tr>
      <w:tr w:rsidR="00407E41" w14:paraId="388A82DA" w14:textId="77777777" w:rsidTr="00B23505">
        <w:trPr>
          <w:trHeight w:val="720"/>
        </w:trPr>
        <w:tc>
          <w:tcPr>
            <w:tcW w:w="4675" w:type="dxa"/>
          </w:tcPr>
          <w:p w14:paraId="02F33C0B" w14:textId="77777777" w:rsidR="00407E41" w:rsidRDefault="00407E41" w:rsidP="00214273">
            <w:pPr>
              <w:pStyle w:val="Default"/>
              <w:rPr>
                <w:sz w:val="22"/>
                <w:szCs w:val="22"/>
              </w:rPr>
            </w:pPr>
          </w:p>
          <w:p w14:paraId="7B7001DF" w14:textId="2B156135" w:rsidR="006A5978" w:rsidRDefault="006A5978" w:rsidP="006A5978">
            <w:pPr>
              <w:pStyle w:val="Default"/>
              <w:numPr>
                <w:ilvl w:val="0"/>
                <w:numId w:val="11"/>
              </w:numPr>
              <w:rPr>
                <w:sz w:val="22"/>
                <w:szCs w:val="22"/>
              </w:rPr>
            </w:pPr>
            <w:r>
              <w:rPr>
                <w:sz w:val="22"/>
                <w:szCs w:val="22"/>
              </w:rPr>
              <w:t>Smart Money Exits</w:t>
            </w:r>
          </w:p>
        </w:tc>
        <w:tc>
          <w:tcPr>
            <w:tcW w:w="4675" w:type="dxa"/>
          </w:tcPr>
          <w:p w14:paraId="735E00B8" w14:textId="77777777" w:rsidR="00407E41" w:rsidRDefault="00407E41" w:rsidP="006A5978">
            <w:pPr>
              <w:pStyle w:val="Default"/>
              <w:ind w:firstLine="720"/>
              <w:rPr>
                <w:sz w:val="22"/>
                <w:szCs w:val="22"/>
              </w:rPr>
            </w:pPr>
          </w:p>
          <w:p w14:paraId="74B734FC" w14:textId="77777777" w:rsidR="006A5978" w:rsidRDefault="006A5978" w:rsidP="006A5978">
            <w:pPr>
              <w:pStyle w:val="Default"/>
              <w:rPr>
                <w:sz w:val="22"/>
                <w:szCs w:val="22"/>
              </w:rPr>
            </w:pPr>
            <w:r>
              <w:rPr>
                <w:sz w:val="22"/>
                <w:szCs w:val="22"/>
              </w:rPr>
              <w:t>Valuation-conscious investors book profits due to concern over elevated market prices</w:t>
            </w:r>
          </w:p>
          <w:p w14:paraId="1304C1C6" w14:textId="6D70D988" w:rsidR="00495B9A" w:rsidRDefault="00495B9A" w:rsidP="006A5978">
            <w:pPr>
              <w:pStyle w:val="Default"/>
              <w:rPr>
                <w:sz w:val="22"/>
                <w:szCs w:val="22"/>
              </w:rPr>
            </w:pPr>
          </w:p>
        </w:tc>
      </w:tr>
      <w:tr w:rsidR="00495B9A" w14:paraId="6737A0CE" w14:textId="77777777" w:rsidTr="00B23505">
        <w:trPr>
          <w:trHeight w:val="720"/>
        </w:trPr>
        <w:tc>
          <w:tcPr>
            <w:tcW w:w="4675" w:type="dxa"/>
          </w:tcPr>
          <w:p w14:paraId="77AE8245" w14:textId="77777777" w:rsidR="00495B9A" w:rsidRDefault="00495B9A" w:rsidP="00214273">
            <w:pPr>
              <w:pStyle w:val="Default"/>
              <w:rPr>
                <w:sz w:val="22"/>
                <w:szCs w:val="22"/>
              </w:rPr>
            </w:pPr>
          </w:p>
          <w:p w14:paraId="57C1B8AC" w14:textId="5D37C807" w:rsidR="00495B9A" w:rsidRDefault="00495B9A" w:rsidP="00495B9A">
            <w:pPr>
              <w:pStyle w:val="Default"/>
              <w:numPr>
                <w:ilvl w:val="0"/>
                <w:numId w:val="11"/>
              </w:numPr>
              <w:rPr>
                <w:sz w:val="22"/>
                <w:szCs w:val="22"/>
              </w:rPr>
            </w:pPr>
            <w:r>
              <w:rPr>
                <w:sz w:val="22"/>
                <w:szCs w:val="22"/>
              </w:rPr>
              <w:t>Liquidity dries up</w:t>
            </w:r>
            <w:r w:rsidR="004B16C2">
              <w:rPr>
                <w:sz w:val="22"/>
                <w:szCs w:val="22"/>
              </w:rPr>
              <w:t xml:space="preserve">. </w:t>
            </w:r>
            <w:r>
              <w:rPr>
                <w:sz w:val="22"/>
                <w:szCs w:val="22"/>
              </w:rPr>
              <w:t xml:space="preserve"> Financial </w:t>
            </w:r>
            <w:r w:rsidR="004B16C2">
              <w:rPr>
                <w:sz w:val="22"/>
                <w:szCs w:val="22"/>
              </w:rPr>
              <w:t>d</w:t>
            </w:r>
            <w:r>
              <w:rPr>
                <w:sz w:val="22"/>
                <w:szCs w:val="22"/>
              </w:rPr>
              <w:t xml:space="preserve">istress </w:t>
            </w:r>
            <w:r w:rsidR="004B16C2">
              <w:rPr>
                <w:sz w:val="22"/>
                <w:szCs w:val="22"/>
              </w:rPr>
              <w:t xml:space="preserve">sets in. </w:t>
            </w:r>
          </w:p>
        </w:tc>
        <w:tc>
          <w:tcPr>
            <w:tcW w:w="4675" w:type="dxa"/>
          </w:tcPr>
          <w:p w14:paraId="348B6693" w14:textId="77777777" w:rsidR="00495B9A" w:rsidRDefault="00495B9A" w:rsidP="00495B9A">
            <w:pPr>
              <w:pStyle w:val="Default"/>
              <w:rPr>
                <w:sz w:val="22"/>
                <w:szCs w:val="22"/>
              </w:rPr>
            </w:pPr>
          </w:p>
          <w:p w14:paraId="1176E2D1" w14:textId="02442149" w:rsidR="00495B9A" w:rsidRDefault="00495B9A" w:rsidP="00495B9A">
            <w:pPr>
              <w:pStyle w:val="Default"/>
              <w:rPr>
                <w:sz w:val="22"/>
                <w:szCs w:val="22"/>
              </w:rPr>
            </w:pPr>
            <w:r>
              <w:rPr>
                <w:sz w:val="22"/>
                <w:szCs w:val="22"/>
              </w:rPr>
              <w:t xml:space="preserve">Mometum reverses, funding is curtailed, and investors suffer losses due to insolvency or lack of return on capital to justify initial investment. </w:t>
            </w:r>
          </w:p>
          <w:p w14:paraId="3DD67447" w14:textId="23FD89A0" w:rsidR="00495B9A" w:rsidRDefault="00495B9A" w:rsidP="00495B9A">
            <w:pPr>
              <w:pStyle w:val="Default"/>
              <w:rPr>
                <w:sz w:val="22"/>
                <w:szCs w:val="22"/>
              </w:rPr>
            </w:pPr>
          </w:p>
        </w:tc>
      </w:tr>
    </w:tbl>
    <w:p w14:paraId="588F6237" w14:textId="77777777" w:rsidR="004B16C2" w:rsidRDefault="00495B9A" w:rsidP="00495B9A">
      <w:pPr>
        <w:pStyle w:val="Default"/>
        <w:rPr>
          <w:sz w:val="22"/>
          <w:szCs w:val="22"/>
        </w:rPr>
      </w:pPr>
      <w:r>
        <w:rPr>
          <w:sz w:val="22"/>
          <w:szCs w:val="22"/>
        </w:rPr>
        <w:lastRenderedPageBreak/>
        <w:t xml:space="preserve">The AI trade clearly meets the first three conditions. </w:t>
      </w:r>
    </w:p>
    <w:p w14:paraId="1524F75A" w14:textId="77777777" w:rsidR="004B16C2" w:rsidRDefault="004B16C2" w:rsidP="00495B9A">
      <w:pPr>
        <w:pStyle w:val="Default"/>
        <w:rPr>
          <w:sz w:val="22"/>
          <w:szCs w:val="22"/>
        </w:rPr>
      </w:pPr>
    </w:p>
    <w:p w14:paraId="2528C273" w14:textId="3EE1EEAF" w:rsidR="00ED34F9" w:rsidRDefault="00495B9A" w:rsidP="004B16C2">
      <w:pPr>
        <w:pStyle w:val="Default"/>
        <w:numPr>
          <w:ilvl w:val="0"/>
          <w:numId w:val="12"/>
        </w:numPr>
        <w:rPr>
          <w:sz w:val="22"/>
          <w:szCs w:val="22"/>
        </w:rPr>
      </w:pPr>
      <w:r>
        <w:rPr>
          <w:sz w:val="22"/>
          <w:szCs w:val="22"/>
        </w:rPr>
        <w:t>This new technology is backed by nearly messianic expectations</w:t>
      </w:r>
      <w:r w:rsidR="00B23505">
        <w:rPr>
          <w:sz w:val="22"/>
          <w:szCs w:val="22"/>
        </w:rPr>
        <w:t xml:space="preserve"> of </w:t>
      </w:r>
      <w:r>
        <w:rPr>
          <w:sz w:val="22"/>
          <w:szCs w:val="22"/>
        </w:rPr>
        <w:t xml:space="preserve">transforming global commerce, upending traditional </w:t>
      </w:r>
      <w:r w:rsidR="004B16C2">
        <w:rPr>
          <w:sz w:val="22"/>
          <w:szCs w:val="22"/>
        </w:rPr>
        <w:t>industr</w:t>
      </w:r>
      <w:r w:rsidR="00B23505">
        <w:rPr>
          <w:sz w:val="22"/>
          <w:szCs w:val="22"/>
        </w:rPr>
        <w:t>ie</w:t>
      </w:r>
      <w:r w:rsidR="004B16C2">
        <w:rPr>
          <w:sz w:val="22"/>
          <w:szCs w:val="22"/>
        </w:rPr>
        <w:t>s, and spurring widespread shifts in the labor market.</w:t>
      </w:r>
    </w:p>
    <w:p w14:paraId="71201220" w14:textId="77777777" w:rsidR="004B16C2" w:rsidRDefault="004B16C2" w:rsidP="004B16C2">
      <w:pPr>
        <w:pStyle w:val="Default"/>
        <w:ind w:left="720"/>
        <w:rPr>
          <w:sz w:val="22"/>
          <w:szCs w:val="22"/>
        </w:rPr>
      </w:pPr>
    </w:p>
    <w:p w14:paraId="59AC5FB4" w14:textId="2EB9AD2E" w:rsidR="004B16C2" w:rsidRDefault="004B16C2" w:rsidP="004B16C2">
      <w:pPr>
        <w:pStyle w:val="Default"/>
        <w:numPr>
          <w:ilvl w:val="0"/>
          <w:numId w:val="12"/>
        </w:numPr>
        <w:rPr>
          <w:sz w:val="22"/>
          <w:szCs w:val="22"/>
        </w:rPr>
      </w:pPr>
      <w:r>
        <w:rPr>
          <w:sz w:val="22"/>
          <w:szCs w:val="22"/>
        </w:rPr>
        <w:t>Funding for AI projects has reached unprecedented levels. Hundreds of billions have been spent by venture capitalists seeding AI startups</w:t>
      </w:r>
      <w:r w:rsidR="00B23505">
        <w:rPr>
          <w:sz w:val="22"/>
          <w:szCs w:val="22"/>
        </w:rPr>
        <w:t>. C</w:t>
      </w:r>
      <w:r>
        <w:rPr>
          <w:sz w:val="22"/>
          <w:szCs w:val="22"/>
        </w:rPr>
        <w:t xml:space="preserve">orporate </w:t>
      </w:r>
      <w:r w:rsidR="00B236D6">
        <w:rPr>
          <w:sz w:val="22"/>
          <w:szCs w:val="22"/>
        </w:rPr>
        <w:t>i</w:t>
      </w:r>
      <w:r>
        <w:rPr>
          <w:sz w:val="22"/>
          <w:szCs w:val="22"/>
        </w:rPr>
        <w:t>nvestment across power generating utilities and datacenter expansion is forecast a</w:t>
      </w:r>
      <w:r w:rsidR="00F7645C">
        <w:rPr>
          <w:sz w:val="22"/>
          <w:szCs w:val="22"/>
        </w:rPr>
        <w:t>t</w:t>
      </w:r>
      <w:r>
        <w:rPr>
          <w:sz w:val="22"/>
          <w:szCs w:val="22"/>
        </w:rPr>
        <w:t xml:space="preserve"> $4 Trillion dollars over the next </w:t>
      </w:r>
      <w:r w:rsidR="00ED1FC6">
        <w:rPr>
          <w:sz w:val="22"/>
          <w:szCs w:val="22"/>
        </w:rPr>
        <w:t>five years</w:t>
      </w:r>
      <w:r>
        <w:rPr>
          <w:sz w:val="22"/>
          <w:szCs w:val="22"/>
        </w:rPr>
        <w:t>.</w:t>
      </w:r>
    </w:p>
    <w:p w14:paraId="4CC74465" w14:textId="77777777" w:rsidR="00ED1FC6" w:rsidRDefault="00ED1FC6" w:rsidP="00ED1FC6">
      <w:pPr>
        <w:pStyle w:val="Default"/>
        <w:ind w:left="720"/>
        <w:rPr>
          <w:sz w:val="22"/>
          <w:szCs w:val="22"/>
        </w:rPr>
      </w:pPr>
    </w:p>
    <w:p w14:paraId="68FB4963" w14:textId="33D9325E" w:rsidR="004B16C2" w:rsidRDefault="004B16C2" w:rsidP="004B16C2">
      <w:pPr>
        <w:pStyle w:val="Default"/>
        <w:numPr>
          <w:ilvl w:val="0"/>
          <w:numId w:val="12"/>
        </w:numPr>
        <w:rPr>
          <w:sz w:val="22"/>
          <w:szCs w:val="22"/>
        </w:rPr>
      </w:pPr>
      <w:r>
        <w:rPr>
          <w:sz w:val="22"/>
          <w:szCs w:val="22"/>
        </w:rPr>
        <w:t xml:space="preserve">Valuations have become </w:t>
      </w:r>
      <w:r w:rsidR="00ED1FC6">
        <w:rPr>
          <w:sz w:val="22"/>
          <w:szCs w:val="22"/>
        </w:rPr>
        <w:t xml:space="preserve">historically </w:t>
      </w:r>
      <w:r>
        <w:rPr>
          <w:sz w:val="22"/>
          <w:szCs w:val="22"/>
        </w:rPr>
        <w:t xml:space="preserve">extreme for both </w:t>
      </w:r>
      <w:r w:rsidR="00ED1FC6">
        <w:rPr>
          <w:sz w:val="22"/>
          <w:szCs w:val="22"/>
        </w:rPr>
        <w:t xml:space="preserve">public and private investments. Bay </w:t>
      </w:r>
      <w:r w:rsidR="00F7645C">
        <w:rPr>
          <w:sz w:val="22"/>
          <w:szCs w:val="22"/>
        </w:rPr>
        <w:t>A</w:t>
      </w:r>
      <w:r w:rsidR="00ED1FC6">
        <w:rPr>
          <w:sz w:val="22"/>
          <w:szCs w:val="22"/>
        </w:rPr>
        <w:t xml:space="preserve">rea startup Safe Superintelligence Inc. was funded at a $30 Billion valuation despite having no product, no business plan, and no near-term goals for revenue generation. Leading AI stocks such as Palantir trade at 250x estimated earnings and 125x sales. </w:t>
      </w:r>
    </w:p>
    <w:p w14:paraId="0753C139" w14:textId="0BB2C4FD" w:rsidR="00ED1FC6" w:rsidRDefault="00ED1FC6" w:rsidP="00ED1FC6">
      <w:pPr>
        <w:pStyle w:val="Default"/>
        <w:rPr>
          <w:sz w:val="22"/>
          <w:szCs w:val="22"/>
        </w:rPr>
      </w:pPr>
    </w:p>
    <w:p w14:paraId="63A64E1D" w14:textId="293DCC59" w:rsidR="00ED1FC6" w:rsidRDefault="003A5357" w:rsidP="00ED1FC6">
      <w:pPr>
        <w:pStyle w:val="Default"/>
        <w:rPr>
          <w:sz w:val="22"/>
          <w:szCs w:val="22"/>
        </w:rPr>
      </w:pPr>
      <w:r>
        <w:rPr>
          <w:sz w:val="22"/>
          <w:szCs w:val="22"/>
        </w:rPr>
        <w:t>As of now, t</w:t>
      </w:r>
      <w:r w:rsidR="00ED1FC6">
        <w:rPr>
          <w:sz w:val="22"/>
          <w:szCs w:val="22"/>
        </w:rPr>
        <w:t xml:space="preserve">here is no sign of investors </w:t>
      </w:r>
      <w:r w:rsidR="00B236D6">
        <w:rPr>
          <w:sz w:val="22"/>
          <w:szCs w:val="22"/>
        </w:rPr>
        <w:t>booking</w:t>
      </w:r>
      <w:r w:rsidR="00ED1FC6">
        <w:rPr>
          <w:sz w:val="22"/>
          <w:szCs w:val="22"/>
        </w:rPr>
        <w:t xml:space="preserve"> profits</w:t>
      </w:r>
      <w:r>
        <w:rPr>
          <w:sz w:val="22"/>
          <w:szCs w:val="22"/>
        </w:rPr>
        <w:t xml:space="preserve"> due to valuation </w:t>
      </w:r>
      <w:r w:rsidR="002B3538">
        <w:rPr>
          <w:sz w:val="22"/>
          <w:szCs w:val="22"/>
        </w:rPr>
        <w:t>concerns</w:t>
      </w:r>
      <w:r w:rsidR="00ED1FC6">
        <w:rPr>
          <w:sz w:val="22"/>
          <w:szCs w:val="22"/>
        </w:rPr>
        <w:t xml:space="preserve">, nor is there any sign of slowing funding. </w:t>
      </w:r>
      <w:r w:rsidR="00B23505">
        <w:rPr>
          <w:sz w:val="22"/>
          <w:szCs w:val="22"/>
        </w:rPr>
        <w:t xml:space="preserve">Still, </w:t>
      </w:r>
      <w:r w:rsidR="00B236D6">
        <w:rPr>
          <w:sz w:val="22"/>
          <w:szCs w:val="22"/>
        </w:rPr>
        <w:t xml:space="preserve">many market analysts struggle to model out future profit scenarios that can justify the current round of investment. Investors seem rational in viewing the current state of Artificial Intelligence market as a bubble, but the </w:t>
      </w:r>
      <w:r w:rsidR="002522AE">
        <w:rPr>
          <w:sz w:val="22"/>
          <w:szCs w:val="22"/>
        </w:rPr>
        <w:t>timing of</w:t>
      </w:r>
      <w:r w:rsidR="00B236D6">
        <w:rPr>
          <w:sz w:val="22"/>
          <w:szCs w:val="22"/>
        </w:rPr>
        <w:t xml:space="preserve"> </w:t>
      </w:r>
      <w:r w:rsidR="00D75BCA">
        <w:rPr>
          <w:sz w:val="22"/>
          <w:szCs w:val="22"/>
        </w:rPr>
        <w:t xml:space="preserve">any </w:t>
      </w:r>
      <w:r w:rsidR="002522AE">
        <w:rPr>
          <w:sz w:val="22"/>
          <w:szCs w:val="22"/>
        </w:rPr>
        <w:t>negative shock</w:t>
      </w:r>
      <w:r w:rsidR="00D75BCA">
        <w:rPr>
          <w:sz w:val="22"/>
          <w:szCs w:val="22"/>
        </w:rPr>
        <w:t xml:space="preserve"> </w:t>
      </w:r>
      <w:r w:rsidR="002522AE">
        <w:rPr>
          <w:sz w:val="22"/>
          <w:szCs w:val="22"/>
        </w:rPr>
        <w:t>to</w:t>
      </w:r>
      <w:r w:rsidR="00D75BCA">
        <w:rPr>
          <w:sz w:val="22"/>
          <w:szCs w:val="22"/>
        </w:rPr>
        <w:t xml:space="preserve"> AI </w:t>
      </w:r>
      <w:r w:rsidR="002522AE">
        <w:rPr>
          <w:sz w:val="22"/>
          <w:szCs w:val="22"/>
        </w:rPr>
        <w:t xml:space="preserve">stock </w:t>
      </w:r>
      <w:r w:rsidR="00D75BCA">
        <w:rPr>
          <w:sz w:val="22"/>
          <w:szCs w:val="22"/>
        </w:rPr>
        <w:t>valuations</w:t>
      </w:r>
      <w:r w:rsidR="004830AE">
        <w:rPr>
          <w:sz w:val="22"/>
          <w:szCs w:val="22"/>
        </w:rPr>
        <w:t xml:space="preserve">, as in all other historical episodes, remains uncertain. </w:t>
      </w:r>
    </w:p>
    <w:p w14:paraId="4E824B94" w14:textId="77777777" w:rsidR="00495B9A" w:rsidRDefault="00495B9A" w:rsidP="00ED34F9">
      <w:pPr>
        <w:pStyle w:val="Default"/>
        <w:jc w:val="center"/>
        <w:rPr>
          <w:b/>
          <w:bCs/>
          <w:sz w:val="22"/>
          <w:szCs w:val="22"/>
          <w:u w:val="single"/>
        </w:rPr>
      </w:pPr>
    </w:p>
    <w:p w14:paraId="793629FE" w14:textId="6D26AEE5" w:rsidR="008D4D65" w:rsidRDefault="008D4D65" w:rsidP="00D75749">
      <w:pPr>
        <w:pStyle w:val="Default"/>
        <w:jc w:val="center"/>
        <w:rPr>
          <w:b/>
          <w:bCs/>
          <w:sz w:val="22"/>
          <w:szCs w:val="22"/>
          <w:u w:val="single"/>
        </w:rPr>
      </w:pPr>
      <w:r>
        <w:rPr>
          <w:b/>
          <w:bCs/>
          <w:sz w:val="22"/>
          <w:szCs w:val="22"/>
          <w:u w:val="single"/>
        </w:rPr>
        <w:t>Investment Strategy</w:t>
      </w:r>
    </w:p>
    <w:p w14:paraId="40E15496" w14:textId="40A66950" w:rsidR="00F850B3" w:rsidRDefault="00F850B3" w:rsidP="00AB6566">
      <w:pPr>
        <w:pStyle w:val="Default"/>
        <w:jc w:val="center"/>
        <w:rPr>
          <w:sz w:val="22"/>
          <w:szCs w:val="22"/>
        </w:rPr>
      </w:pPr>
    </w:p>
    <w:p w14:paraId="2AB2223C" w14:textId="42080529" w:rsidR="004A1500" w:rsidRDefault="0028351C" w:rsidP="00E95F05">
      <w:pPr>
        <w:pStyle w:val="Default"/>
        <w:rPr>
          <w:sz w:val="22"/>
          <w:szCs w:val="22"/>
        </w:rPr>
      </w:pPr>
      <w:r>
        <w:rPr>
          <w:sz w:val="22"/>
          <w:szCs w:val="22"/>
        </w:rPr>
        <w:t xml:space="preserve">At a time of elevated uncertainty and richly valued stock markets, we continue to </w:t>
      </w:r>
      <w:r w:rsidR="003A5357">
        <w:rPr>
          <w:sz w:val="22"/>
          <w:szCs w:val="22"/>
        </w:rPr>
        <w:t xml:space="preserve">play defense by </w:t>
      </w:r>
      <w:r w:rsidR="00E75B81">
        <w:rPr>
          <w:sz w:val="22"/>
          <w:szCs w:val="22"/>
        </w:rPr>
        <w:t xml:space="preserve">rebalancing into longer-term allocations, culling back winning stocks, and making sure cash and fixed income allocations are fully funded. </w:t>
      </w:r>
    </w:p>
    <w:p w14:paraId="6D44CD6D" w14:textId="77777777" w:rsidR="0028351C" w:rsidRDefault="0028351C" w:rsidP="00E95F05">
      <w:pPr>
        <w:pStyle w:val="Default"/>
        <w:rPr>
          <w:sz w:val="22"/>
          <w:szCs w:val="22"/>
        </w:rPr>
      </w:pPr>
    </w:p>
    <w:p w14:paraId="4AD6F974" w14:textId="7B7F9522" w:rsidR="00E75B81" w:rsidRDefault="00B23505" w:rsidP="00E95F05">
      <w:pPr>
        <w:pStyle w:val="Default"/>
        <w:rPr>
          <w:sz w:val="22"/>
          <w:szCs w:val="22"/>
        </w:rPr>
      </w:pPr>
      <w:r>
        <w:rPr>
          <w:sz w:val="22"/>
          <w:szCs w:val="22"/>
        </w:rPr>
        <w:t>Risk</w:t>
      </w:r>
      <w:r w:rsidR="0028351C">
        <w:rPr>
          <w:sz w:val="22"/>
          <w:szCs w:val="22"/>
        </w:rPr>
        <w:t xml:space="preserve"> markets </w:t>
      </w:r>
      <w:r w:rsidR="00E75B81">
        <w:rPr>
          <w:sz w:val="22"/>
          <w:szCs w:val="22"/>
        </w:rPr>
        <w:t>appear</w:t>
      </w:r>
      <w:r w:rsidR="0028351C">
        <w:rPr>
          <w:sz w:val="22"/>
          <w:szCs w:val="22"/>
        </w:rPr>
        <w:t xml:space="preserve"> </w:t>
      </w:r>
      <w:r w:rsidR="007E6966">
        <w:rPr>
          <w:sz w:val="22"/>
          <w:szCs w:val="22"/>
        </w:rPr>
        <w:t xml:space="preserve">currently </w:t>
      </w:r>
      <w:r>
        <w:rPr>
          <w:sz w:val="22"/>
          <w:szCs w:val="22"/>
        </w:rPr>
        <w:t xml:space="preserve">both </w:t>
      </w:r>
      <w:r w:rsidR="0028351C">
        <w:rPr>
          <w:sz w:val="22"/>
          <w:szCs w:val="22"/>
        </w:rPr>
        <w:t>technically stretched and</w:t>
      </w:r>
      <w:r w:rsidR="00E75B81">
        <w:rPr>
          <w:sz w:val="22"/>
          <w:szCs w:val="22"/>
        </w:rPr>
        <w:t xml:space="preserve"> </w:t>
      </w:r>
      <w:r w:rsidR="00644BC5">
        <w:rPr>
          <w:sz w:val="22"/>
          <w:szCs w:val="22"/>
        </w:rPr>
        <w:t>expensive compared to history</w:t>
      </w:r>
      <w:r w:rsidR="00E75B81">
        <w:rPr>
          <w:sz w:val="22"/>
          <w:szCs w:val="22"/>
        </w:rPr>
        <w:t xml:space="preserve">. The S&amp;P 500 Index </w:t>
      </w:r>
      <w:r>
        <w:rPr>
          <w:sz w:val="22"/>
          <w:szCs w:val="22"/>
        </w:rPr>
        <w:t>currently trades</w:t>
      </w:r>
      <w:r w:rsidR="00E75B81">
        <w:rPr>
          <w:sz w:val="22"/>
          <w:szCs w:val="22"/>
        </w:rPr>
        <w:t xml:space="preserve"> </w:t>
      </w:r>
      <w:r>
        <w:rPr>
          <w:sz w:val="22"/>
          <w:szCs w:val="22"/>
        </w:rPr>
        <w:t xml:space="preserve">at </w:t>
      </w:r>
      <w:r w:rsidR="00E75B81">
        <w:rPr>
          <w:sz w:val="22"/>
          <w:szCs w:val="22"/>
        </w:rPr>
        <w:t xml:space="preserve">25x its forward earnings estimates, a 45% premium to </w:t>
      </w:r>
      <w:r>
        <w:rPr>
          <w:sz w:val="22"/>
          <w:szCs w:val="22"/>
        </w:rPr>
        <w:t>its</w:t>
      </w:r>
      <w:r w:rsidR="00E75B81">
        <w:rPr>
          <w:sz w:val="22"/>
          <w:szCs w:val="22"/>
        </w:rPr>
        <w:t xml:space="preserve"> longer run average. </w:t>
      </w:r>
      <w:r>
        <w:rPr>
          <w:sz w:val="22"/>
          <w:szCs w:val="22"/>
        </w:rPr>
        <w:t>Technical indicators such the VIX Curve</w:t>
      </w:r>
      <w:r w:rsidR="002B3538">
        <w:rPr>
          <w:sz w:val="22"/>
          <w:szCs w:val="22"/>
        </w:rPr>
        <w:t xml:space="preserve"> and </w:t>
      </w:r>
      <w:r>
        <w:rPr>
          <w:sz w:val="22"/>
          <w:szCs w:val="22"/>
        </w:rPr>
        <w:t>the percentage of stocks trading above their 50-day moving average are showing historically elevated readings</w:t>
      </w:r>
      <w:r w:rsidR="007E6966">
        <w:rPr>
          <w:sz w:val="22"/>
          <w:szCs w:val="22"/>
        </w:rPr>
        <w:t xml:space="preserve">. </w:t>
      </w:r>
    </w:p>
    <w:p w14:paraId="3D388341" w14:textId="77777777" w:rsidR="00E75B81" w:rsidRDefault="00E75B81" w:rsidP="00E95F05">
      <w:pPr>
        <w:pStyle w:val="Default"/>
        <w:rPr>
          <w:sz w:val="22"/>
          <w:szCs w:val="22"/>
        </w:rPr>
      </w:pPr>
    </w:p>
    <w:p w14:paraId="210D651D" w14:textId="6EF2995C" w:rsidR="00E75B81" w:rsidRDefault="00E75B81" w:rsidP="00E75B81">
      <w:pPr>
        <w:pStyle w:val="Default"/>
        <w:jc w:val="center"/>
        <w:rPr>
          <w:sz w:val="22"/>
          <w:szCs w:val="22"/>
        </w:rPr>
      </w:pPr>
      <w:r>
        <w:rPr>
          <w:noProof/>
          <w:sz w:val="22"/>
          <w:szCs w:val="22"/>
        </w:rPr>
        <w:drawing>
          <wp:inline distT="0" distB="0" distL="0" distR="0" wp14:anchorId="2F2F334F" wp14:editId="2BBFDE5C">
            <wp:extent cx="4742162" cy="3244850"/>
            <wp:effectExtent l="0" t="0" r="1905" b="0"/>
            <wp:docPr id="12461496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7769" cy="3289742"/>
                    </a:xfrm>
                    <a:prstGeom prst="rect">
                      <a:avLst/>
                    </a:prstGeom>
                    <a:noFill/>
                  </pic:spPr>
                </pic:pic>
              </a:graphicData>
            </a:graphic>
          </wp:inline>
        </w:drawing>
      </w:r>
    </w:p>
    <w:p w14:paraId="4A1433D1" w14:textId="77777777" w:rsidR="006A2E1B" w:rsidRDefault="006A2E1B" w:rsidP="00E95F05">
      <w:pPr>
        <w:pStyle w:val="Default"/>
        <w:rPr>
          <w:sz w:val="22"/>
          <w:szCs w:val="22"/>
        </w:rPr>
      </w:pPr>
    </w:p>
    <w:p w14:paraId="2931EB4D" w14:textId="0D37C3CF" w:rsidR="00EB737E" w:rsidRDefault="007914B1" w:rsidP="009C7472">
      <w:pPr>
        <w:pStyle w:val="Default"/>
        <w:rPr>
          <w:sz w:val="22"/>
          <w:szCs w:val="22"/>
        </w:rPr>
      </w:pPr>
      <w:r>
        <w:rPr>
          <w:sz w:val="22"/>
          <w:szCs w:val="22"/>
        </w:rPr>
        <w:t xml:space="preserve">These conditions exist during a period of slowing economic growth, a wobbling job market and geopolitical concerns ranging from a U.S. government shutdown to the </w:t>
      </w:r>
      <w:r w:rsidR="00CD639C">
        <w:rPr>
          <w:sz w:val="22"/>
          <w:szCs w:val="22"/>
        </w:rPr>
        <w:t>ongoing trade war</w:t>
      </w:r>
      <w:r>
        <w:rPr>
          <w:sz w:val="22"/>
          <w:szCs w:val="22"/>
        </w:rPr>
        <w:t>. Investors should not be surprised by any near-term drawdown in stock markets</w:t>
      </w:r>
      <w:r w:rsidR="00EB737E">
        <w:rPr>
          <w:sz w:val="22"/>
          <w:szCs w:val="22"/>
        </w:rPr>
        <w:t xml:space="preserve"> if the potential downside from these factors creeps into corporate data. </w:t>
      </w:r>
    </w:p>
    <w:p w14:paraId="14F82A73" w14:textId="77777777" w:rsidR="00EB737E" w:rsidRDefault="00EB737E" w:rsidP="009C7472">
      <w:pPr>
        <w:pStyle w:val="Default"/>
        <w:rPr>
          <w:sz w:val="22"/>
          <w:szCs w:val="22"/>
        </w:rPr>
      </w:pPr>
    </w:p>
    <w:p w14:paraId="67136A55" w14:textId="2DA13EF0" w:rsidR="002231F9" w:rsidRDefault="003A5357" w:rsidP="009C7472">
      <w:pPr>
        <w:pStyle w:val="Default"/>
        <w:rPr>
          <w:sz w:val="22"/>
          <w:szCs w:val="22"/>
        </w:rPr>
      </w:pPr>
      <w:r>
        <w:rPr>
          <w:sz w:val="22"/>
          <w:szCs w:val="22"/>
        </w:rPr>
        <w:t>For long</w:t>
      </w:r>
      <w:r w:rsidR="00F7645C">
        <w:rPr>
          <w:sz w:val="22"/>
          <w:szCs w:val="22"/>
        </w:rPr>
        <w:t xml:space="preserve">er </w:t>
      </w:r>
      <w:r>
        <w:rPr>
          <w:sz w:val="22"/>
          <w:szCs w:val="22"/>
        </w:rPr>
        <w:t>term, buy</w:t>
      </w:r>
      <w:r w:rsidR="00F7645C">
        <w:rPr>
          <w:sz w:val="22"/>
          <w:szCs w:val="22"/>
        </w:rPr>
        <w:t>-</w:t>
      </w:r>
      <w:r>
        <w:rPr>
          <w:sz w:val="22"/>
          <w:szCs w:val="22"/>
        </w:rPr>
        <w:t>and</w:t>
      </w:r>
      <w:r w:rsidR="00F7645C">
        <w:rPr>
          <w:sz w:val="22"/>
          <w:szCs w:val="22"/>
        </w:rPr>
        <w:t>-</w:t>
      </w:r>
      <w:r>
        <w:rPr>
          <w:sz w:val="22"/>
          <w:szCs w:val="22"/>
        </w:rPr>
        <w:t>hold investors, the backdrop looks less ominous. T</w:t>
      </w:r>
      <w:r w:rsidR="00EB737E">
        <w:rPr>
          <w:sz w:val="22"/>
          <w:szCs w:val="22"/>
        </w:rPr>
        <w:t>he Federal Reserve’s switch to a more accommodative monetary policy should alleviate some of the pain from higher borrowing costs</w:t>
      </w:r>
      <w:r w:rsidR="00691E66">
        <w:rPr>
          <w:sz w:val="22"/>
          <w:szCs w:val="22"/>
        </w:rPr>
        <w:t xml:space="preserve">. The </w:t>
      </w:r>
      <w:r w:rsidR="00EB737E">
        <w:rPr>
          <w:sz w:val="22"/>
          <w:szCs w:val="22"/>
        </w:rPr>
        <w:t>economy, while slowing, remains in good health by an</w:t>
      </w:r>
      <w:r w:rsidR="00691E66">
        <w:rPr>
          <w:sz w:val="22"/>
          <w:szCs w:val="22"/>
        </w:rPr>
        <w:t>y</w:t>
      </w:r>
      <w:r w:rsidR="00EB737E">
        <w:rPr>
          <w:sz w:val="22"/>
          <w:szCs w:val="22"/>
        </w:rPr>
        <w:t xml:space="preserve"> longer</w:t>
      </w:r>
      <w:r w:rsidR="003A6D5B">
        <w:rPr>
          <w:sz w:val="22"/>
          <w:szCs w:val="22"/>
        </w:rPr>
        <w:t>-</w:t>
      </w:r>
      <w:r w:rsidR="00EB737E">
        <w:rPr>
          <w:sz w:val="22"/>
          <w:szCs w:val="22"/>
        </w:rPr>
        <w:t xml:space="preserve">run standard. </w:t>
      </w:r>
      <w:r w:rsidR="00691E66">
        <w:rPr>
          <w:sz w:val="22"/>
          <w:szCs w:val="22"/>
        </w:rPr>
        <w:t>Corporate managers have navigated recent tariff uncertainty with a deft touch with earnings growth remaining strong</w:t>
      </w:r>
      <w:r w:rsidR="00F7645C">
        <w:rPr>
          <w:sz w:val="22"/>
          <w:szCs w:val="22"/>
        </w:rPr>
        <w:t>,</w:t>
      </w:r>
      <w:r w:rsidR="00691E66">
        <w:rPr>
          <w:sz w:val="22"/>
          <w:szCs w:val="22"/>
        </w:rPr>
        <w:t xml:space="preserve"> and forecasts continu</w:t>
      </w:r>
      <w:r w:rsidR="00A62DAE">
        <w:rPr>
          <w:sz w:val="22"/>
          <w:szCs w:val="22"/>
        </w:rPr>
        <w:t>e</w:t>
      </w:r>
      <w:r w:rsidR="00691E66">
        <w:rPr>
          <w:sz w:val="22"/>
          <w:szCs w:val="22"/>
        </w:rPr>
        <w:t xml:space="preserve"> to point to near-term growth.</w:t>
      </w:r>
      <w:r>
        <w:rPr>
          <w:sz w:val="22"/>
          <w:szCs w:val="22"/>
        </w:rPr>
        <w:t xml:space="preserve"> </w:t>
      </w:r>
      <w:r w:rsidR="00644BC5">
        <w:rPr>
          <w:sz w:val="22"/>
          <w:szCs w:val="22"/>
        </w:rPr>
        <w:t xml:space="preserve">Any stock correction should be looked to opportunistically. </w:t>
      </w:r>
    </w:p>
    <w:p w14:paraId="0EC1D7ED" w14:textId="77777777" w:rsidR="007914B1" w:rsidRDefault="007914B1" w:rsidP="009C7472">
      <w:pPr>
        <w:pStyle w:val="Default"/>
        <w:rPr>
          <w:sz w:val="22"/>
          <w:szCs w:val="22"/>
        </w:rPr>
      </w:pPr>
    </w:p>
    <w:p w14:paraId="59DF2858" w14:textId="77777777" w:rsidR="00F7645C" w:rsidRDefault="007914B1" w:rsidP="009C7472">
      <w:pPr>
        <w:pStyle w:val="Default"/>
        <w:rPr>
          <w:sz w:val="22"/>
          <w:szCs w:val="22"/>
        </w:rPr>
      </w:pPr>
      <w:r>
        <w:rPr>
          <w:sz w:val="22"/>
          <w:szCs w:val="22"/>
        </w:rPr>
        <w:t>While frothy valuations</w:t>
      </w:r>
      <w:r w:rsidR="00EB737E">
        <w:rPr>
          <w:sz w:val="22"/>
          <w:szCs w:val="22"/>
        </w:rPr>
        <w:t xml:space="preserve"> in sections of the stock market are a </w:t>
      </w:r>
      <w:r w:rsidR="003A6D5B">
        <w:rPr>
          <w:sz w:val="22"/>
          <w:szCs w:val="22"/>
        </w:rPr>
        <w:t xml:space="preserve">legitimate </w:t>
      </w:r>
      <w:r w:rsidR="00EB737E">
        <w:rPr>
          <w:sz w:val="22"/>
          <w:szCs w:val="22"/>
        </w:rPr>
        <w:t xml:space="preserve">concern, we shared </w:t>
      </w:r>
      <w:r w:rsidR="00691E66">
        <w:rPr>
          <w:sz w:val="22"/>
          <w:szCs w:val="22"/>
        </w:rPr>
        <w:t xml:space="preserve">the previous graph on cyclical and defensive performance to illustrate how many sections of the stock market sport more sober or even attractive valuations, and a properly diversified portfolio should weather any storm posed by a drawdown in AI related </w:t>
      </w:r>
      <w:r w:rsidR="003A5357">
        <w:rPr>
          <w:sz w:val="22"/>
          <w:szCs w:val="22"/>
        </w:rPr>
        <w:t xml:space="preserve">investments. </w:t>
      </w:r>
    </w:p>
    <w:p w14:paraId="7CE8BF03" w14:textId="77777777" w:rsidR="00F7645C" w:rsidRDefault="00F7645C" w:rsidP="009C7472">
      <w:pPr>
        <w:pStyle w:val="Default"/>
        <w:rPr>
          <w:sz w:val="22"/>
          <w:szCs w:val="22"/>
        </w:rPr>
      </w:pPr>
    </w:p>
    <w:p w14:paraId="46428772" w14:textId="53331695" w:rsidR="003A5357" w:rsidRDefault="003A6D5B" w:rsidP="009C7472">
      <w:pPr>
        <w:pStyle w:val="Default"/>
        <w:rPr>
          <w:sz w:val="22"/>
          <w:szCs w:val="22"/>
        </w:rPr>
      </w:pPr>
      <w:r>
        <w:rPr>
          <w:sz w:val="22"/>
          <w:szCs w:val="22"/>
        </w:rPr>
        <w:t>Investors should maintain diversification discipline with an eye to the long</w:t>
      </w:r>
      <w:r w:rsidR="00F7645C">
        <w:rPr>
          <w:sz w:val="22"/>
          <w:szCs w:val="22"/>
        </w:rPr>
        <w:t>-</w:t>
      </w:r>
      <w:r>
        <w:rPr>
          <w:sz w:val="22"/>
          <w:szCs w:val="22"/>
        </w:rPr>
        <w:t xml:space="preserve">term, even if certain strategies have not kept pace with </w:t>
      </w:r>
      <w:r w:rsidR="00644BC5">
        <w:rPr>
          <w:sz w:val="22"/>
          <w:szCs w:val="22"/>
        </w:rPr>
        <w:t xml:space="preserve">the historically abnormal returns </w:t>
      </w:r>
      <w:r w:rsidR="007E6966">
        <w:rPr>
          <w:sz w:val="22"/>
          <w:szCs w:val="22"/>
        </w:rPr>
        <w:t xml:space="preserve">of </w:t>
      </w:r>
      <w:r w:rsidR="00644BC5">
        <w:rPr>
          <w:sz w:val="22"/>
          <w:szCs w:val="22"/>
        </w:rPr>
        <w:t xml:space="preserve">the last few years in tech and communications investments. </w:t>
      </w:r>
    </w:p>
    <w:p w14:paraId="09C6D627" w14:textId="77777777" w:rsidR="00644BC5" w:rsidRDefault="00644BC5" w:rsidP="009C7472">
      <w:pPr>
        <w:pStyle w:val="Default"/>
        <w:rPr>
          <w:sz w:val="22"/>
          <w:szCs w:val="22"/>
        </w:rPr>
      </w:pPr>
    </w:p>
    <w:p w14:paraId="65C4F364" w14:textId="10C3A1AA" w:rsidR="003A5357" w:rsidRDefault="007E6966" w:rsidP="009C7472">
      <w:pPr>
        <w:pStyle w:val="Default"/>
        <w:rPr>
          <w:sz w:val="22"/>
          <w:szCs w:val="22"/>
        </w:rPr>
      </w:pPr>
      <w:r>
        <w:rPr>
          <w:sz w:val="22"/>
          <w:szCs w:val="22"/>
        </w:rPr>
        <w:t xml:space="preserve">We see no change </w:t>
      </w:r>
      <w:r w:rsidR="00A62DAE">
        <w:rPr>
          <w:sz w:val="22"/>
          <w:szCs w:val="22"/>
        </w:rPr>
        <w:t xml:space="preserve">in </w:t>
      </w:r>
      <w:r>
        <w:rPr>
          <w:sz w:val="22"/>
          <w:szCs w:val="22"/>
        </w:rPr>
        <w:t xml:space="preserve">the current </w:t>
      </w:r>
      <w:r w:rsidR="00A62DAE">
        <w:rPr>
          <w:sz w:val="22"/>
          <w:szCs w:val="22"/>
        </w:rPr>
        <w:t xml:space="preserve">trend in fixed income markets. Yields on cash should drift lower over the next year so idle funds parked at banks or even money market funds should be redirected to higher yielding bonds if possible. Extending maturities to lock in yields now remains a smart move. </w:t>
      </w:r>
    </w:p>
    <w:p w14:paraId="0ECBF40E" w14:textId="77777777" w:rsidR="002231F9" w:rsidRDefault="002231F9" w:rsidP="009C7472">
      <w:pPr>
        <w:pStyle w:val="Default"/>
        <w:rPr>
          <w:sz w:val="22"/>
          <w:szCs w:val="22"/>
        </w:rPr>
      </w:pPr>
    </w:p>
    <w:p w14:paraId="00F79F9F" w14:textId="6AADF29D" w:rsidR="002231F9" w:rsidRDefault="00A62DAE" w:rsidP="009C7472">
      <w:pPr>
        <w:pStyle w:val="Default"/>
        <w:rPr>
          <w:sz w:val="22"/>
          <w:szCs w:val="22"/>
        </w:rPr>
      </w:pPr>
      <w:r>
        <w:rPr>
          <w:sz w:val="22"/>
          <w:szCs w:val="22"/>
        </w:rPr>
        <w:t>We look forward to discussing these comments</w:t>
      </w:r>
      <w:r w:rsidR="002B3538">
        <w:rPr>
          <w:sz w:val="22"/>
          <w:szCs w:val="22"/>
        </w:rPr>
        <w:t xml:space="preserve">, or any other question or concern, with you soon. As always, we appreciate the trust and faith you place in our firm. </w:t>
      </w:r>
    </w:p>
    <w:p w14:paraId="14EF31F6" w14:textId="77777777" w:rsidR="002231F9" w:rsidRDefault="002231F9" w:rsidP="009C7472">
      <w:pPr>
        <w:pStyle w:val="Default"/>
        <w:rPr>
          <w:sz w:val="22"/>
          <w:szCs w:val="22"/>
        </w:rPr>
      </w:pPr>
    </w:p>
    <w:p w14:paraId="1CDC71A7" w14:textId="189DC8E9" w:rsidR="00364AEF" w:rsidRDefault="009C7472" w:rsidP="009C7472">
      <w:pPr>
        <w:pStyle w:val="Default"/>
      </w:pPr>
      <w:r>
        <w:rPr>
          <w:sz w:val="22"/>
          <w:szCs w:val="22"/>
        </w:rPr>
        <w:t>Sincerely,</w:t>
      </w:r>
    </w:p>
    <w:p w14:paraId="4C1DA2FF" w14:textId="2802F08C" w:rsidR="00364AEF" w:rsidRDefault="00364AEF" w:rsidP="000D5B73">
      <w:pPr>
        <w:spacing w:after="0" w:line="240" w:lineRule="auto"/>
        <w:rPr>
          <w:rFonts w:ascii="Times New Roman" w:hAnsi="Times New Roman" w:cs="Times New Roman"/>
        </w:rPr>
      </w:pPr>
    </w:p>
    <w:p w14:paraId="13D2F185" w14:textId="77777777" w:rsidR="00364AEF" w:rsidRDefault="00364AEF" w:rsidP="000D5B73">
      <w:pPr>
        <w:spacing w:after="0" w:line="240" w:lineRule="auto"/>
        <w:rPr>
          <w:rFonts w:ascii="Times New Roman" w:hAnsi="Times New Roman" w:cs="Times New Roman"/>
        </w:rPr>
      </w:pPr>
    </w:p>
    <w:p w14:paraId="33FE1804" w14:textId="7F7A6440" w:rsidR="002231F9" w:rsidRDefault="00DF150D" w:rsidP="000D5B73">
      <w:pPr>
        <w:spacing w:after="0" w:line="240" w:lineRule="auto"/>
        <w:rPr>
          <w:rFonts w:ascii="Times New Roman" w:hAnsi="Times New Roman" w:cs="Times New Roman"/>
        </w:rPr>
      </w:pPr>
      <w:r w:rsidRPr="009342E4">
        <w:rPr>
          <w:rFonts w:ascii="Times New Roman" w:hAnsi="Times New Roman" w:cs="Times New Roman"/>
        </w:rPr>
        <w:t>TURTLE CREEK TRUST</w:t>
      </w:r>
    </w:p>
    <w:p w14:paraId="1D3EF9B8" w14:textId="77777777" w:rsidR="002231F9" w:rsidRDefault="002231F9" w:rsidP="000D5B73">
      <w:pPr>
        <w:spacing w:after="0" w:line="240" w:lineRule="auto"/>
        <w:rPr>
          <w:rFonts w:ascii="Times New Roman" w:hAnsi="Times New Roman" w:cs="Times New Roman"/>
          <w:sz w:val="18"/>
          <w:szCs w:val="18"/>
        </w:rPr>
      </w:pPr>
    </w:p>
    <w:p w14:paraId="333BF2B9" w14:textId="77777777" w:rsidR="002231F9" w:rsidRDefault="002231F9" w:rsidP="000D5B73">
      <w:pPr>
        <w:spacing w:after="0" w:line="240" w:lineRule="auto"/>
        <w:rPr>
          <w:rFonts w:ascii="Times New Roman" w:hAnsi="Times New Roman" w:cs="Times New Roman"/>
          <w:sz w:val="18"/>
          <w:szCs w:val="18"/>
        </w:rPr>
      </w:pPr>
    </w:p>
    <w:p w14:paraId="79A63C97" w14:textId="77777777" w:rsidR="002231F9" w:rsidRDefault="002231F9" w:rsidP="000D5B73">
      <w:pPr>
        <w:spacing w:after="0" w:line="240" w:lineRule="auto"/>
        <w:rPr>
          <w:rFonts w:ascii="Times New Roman" w:hAnsi="Times New Roman" w:cs="Times New Roman"/>
          <w:sz w:val="18"/>
          <w:szCs w:val="18"/>
        </w:rPr>
      </w:pPr>
    </w:p>
    <w:p w14:paraId="1FE154D2" w14:textId="77777777" w:rsidR="002231F9" w:rsidRDefault="002231F9" w:rsidP="000D5B73">
      <w:pPr>
        <w:spacing w:after="0" w:line="240" w:lineRule="auto"/>
        <w:rPr>
          <w:rFonts w:ascii="Times New Roman" w:hAnsi="Times New Roman" w:cs="Times New Roman"/>
          <w:sz w:val="18"/>
          <w:szCs w:val="18"/>
        </w:rPr>
      </w:pPr>
    </w:p>
    <w:p w14:paraId="18D434E0" w14:textId="77777777" w:rsidR="002231F9" w:rsidRDefault="002231F9" w:rsidP="000D5B73">
      <w:pPr>
        <w:spacing w:after="0" w:line="240" w:lineRule="auto"/>
        <w:rPr>
          <w:rFonts w:ascii="Times New Roman" w:hAnsi="Times New Roman" w:cs="Times New Roman"/>
          <w:sz w:val="18"/>
          <w:szCs w:val="18"/>
        </w:rPr>
      </w:pPr>
    </w:p>
    <w:p w14:paraId="511D21F3" w14:textId="77777777" w:rsidR="002231F9" w:rsidRDefault="002231F9" w:rsidP="000D5B73">
      <w:pPr>
        <w:spacing w:after="0" w:line="240" w:lineRule="auto"/>
        <w:rPr>
          <w:rFonts w:ascii="Times New Roman" w:hAnsi="Times New Roman" w:cs="Times New Roman"/>
          <w:sz w:val="18"/>
          <w:szCs w:val="18"/>
        </w:rPr>
      </w:pPr>
    </w:p>
    <w:p w14:paraId="1C33EE9B" w14:textId="77777777" w:rsidR="002231F9" w:rsidRDefault="002231F9" w:rsidP="000D5B73">
      <w:pPr>
        <w:spacing w:after="0" w:line="240" w:lineRule="auto"/>
        <w:rPr>
          <w:rFonts w:ascii="Times New Roman" w:hAnsi="Times New Roman" w:cs="Times New Roman"/>
          <w:sz w:val="18"/>
          <w:szCs w:val="18"/>
        </w:rPr>
      </w:pPr>
    </w:p>
    <w:p w14:paraId="5EC16F90" w14:textId="77777777" w:rsidR="002231F9" w:rsidRDefault="002231F9" w:rsidP="000D5B73">
      <w:pPr>
        <w:spacing w:after="0" w:line="240" w:lineRule="auto"/>
        <w:rPr>
          <w:rFonts w:ascii="Times New Roman" w:hAnsi="Times New Roman" w:cs="Times New Roman"/>
          <w:sz w:val="18"/>
          <w:szCs w:val="18"/>
        </w:rPr>
      </w:pPr>
    </w:p>
    <w:p w14:paraId="1AD82E87" w14:textId="77777777" w:rsidR="002231F9" w:rsidRDefault="002231F9" w:rsidP="000D5B73">
      <w:pPr>
        <w:spacing w:after="0" w:line="240" w:lineRule="auto"/>
        <w:rPr>
          <w:rFonts w:ascii="Times New Roman" w:hAnsi="Times New Roman" w:cs="Times New Roman"/>
          <w:sz w:val="18"/>
          <w:szCs w:val="18"/>
        </w:rPr>
      </w:pPr>
    </w:p>
    <w:p w14:paraId="5DAC5F7B" w14:textId="77777777" w:rsidR="002231F9" w:rsidRDefault="002231F9" w:rsidP="000D5B73">
      <w:pPr>
        <w:spacing w:after="0" w:line="240" w:lineRule="auto"/>
        <w:rPr>
          <w:rFonts w:ascii="Times New Roman" w:hAnsi="Times New Roman" w:cs="Times New Roman"/>
          <w:sz w:val="18"/>
          <w:szCs w:val="18"/>
        </w:rPr>
      </w:pPr>
    </w:p>
    <w:p w14:paraId="4BCF8C85" w14:textId="77777777" w:rsidR="002231F9" w:rsidRDefault="002231F9" w:rsidP="000D5B73">
      <w:pPr>
        <w:spacing w:after="0" w:line="240" w:lineRule="auto"/>
        <w:rPr>
          <w:rFonts w:ascii="Times New Roman" w:hAnsi="Times New Roman" w:cs="Times New Roman"/>
          <w:sz w:val="18"/>
          <w:szCs w:val="18"/>
        </w:rPr>
      </w:pPr>
    </w:p>
    <w:p w14:paraId="0A130C27" w14:textId="77777777" w:rsidR="002231F9" w:rsidRDefault="002231F9" w:rsidP="000D5B73">
      <w:pPr>
        <w:spacing w:after="0" w:line="240" w:lineRule="auto"/>
        <w:rPr>
          <w:rFonts w:ascii="Times New Roman" w:hAnsi="Times New Roman" w:cs="Times New Roman"/>
          <w:sz w:val="18"/>
          <w:szCs w:val="18"/>
        </w:rPr>
      </w:pPr>
    </w:p>
    <w:p w14:paraId="1E5FF619" w14:textId="77777777" w:rsidR="002231F9" w:rsidRDefault="002231F9" w:rsidP="000D5B73">
      <w:pPr>
        <w:spacing w:after="0" w:line="240" w:lineRule="auto"/>
        <w:rPr>
          <w:rFonts w:ascii="Times New Roman" w:hAnsi="Times New Roman" w:cs="Times New Roman"/>
          <w:sz w:val="18"/>
          <w:szCs w:val="18"/>
        </w:rPr>
      </w:pPr>
    </w:p>
    <w:p w14:paraId="2033EAA3" w14:textId="77777777" w:rsidR="002231F9" w:rsidRDefault="002231F9" w:rsidP="000D5B73">
      <w:pPr>
        <w:spacing w:after="0" w:line="240" w:lineRule="auto"/>
        <w:rPr>
          <w:rFonts w:ascii="Times New Roman" w:hAnsi="Times New Roman" w:cs="Times New Roman"/>
          <w:sz w:val="18"/>
          <w:szCs w:val="18"/>
        </w:rPr>
      </w:pPr>
    </w:p>
    <w:p w14:paraId="2E6FA063" w14:textId="77777777" w:rsidR="002231F9" w:rsidRDefault="002231F9" w:rsidP="000D5B73">
      <w:pPr>
        <w:spacing w:after="0" w:line="240" w:lineRule="auto"/>
        <w:rPr>
          <w:rFonts w:ascii="Times New Roman" w:hAnsi="Times New Roman" w:cs="Times New Roman"/>
          <w:sz w:val="18"/>
          <w:szCs w:val="18"/>
        </w:rPr>
      </w:pPr>
    </w:p>
    <w:p w14:paraId="06019695" w14:textId="77777777" w:rsidR="002231F9" w:rsidRDefault="002231F9" w:rsidP="000D5B73">
      <w:pPr>
        <w:spacing w:after="0" w:line="240" w:lineRule="auto"/>
        <w:rPr>
          <w:rFonts w:ascii="Times New Roman" w:hAnsi="Times New Roman" w:cs="Times New Roman"/>
          <w:sz w:val="18"/>
          <w:szCs w:val="18"/>
        </w:rPr>
      </w:pPr>
    </w:p>
    <w:p w14:paraId="63136D53" w14:textId="2321E746" w:rsidR="002231F9" w:rsidRPr="000B46DA" w:rsidRDefault="000B46DA" w:rsidP="00644BC5">
      <w:pPr>
        <w:spacing w:after="0" w:line="240" w:lineRule="auto"/>
        <w:rPr>
          <w:rFonts w:ascii="Times New Roman" w:hAnsi="Times New Roman" w:cs="Times New Roman"/>
          <w:sz w:val="18"/>
          <w:szCs w:val="18"/>
        </w:rPr>
      </w:pPr>
      <w:r w:rsidRPr="000B46DA">
        <w:rPr>
          <w:rFonts w:ascii="Times New Roman" w:hAnsi="Times New Roman" w:cs="Times New Roman"/>
          <w:sz w:val="18"/>
          <w:szCs w:val="18"/>
        </w:rPr>
        <w:t>“Turtle Creek Trust Company, LTA, is a chartered trust company registered with the State of Texas. Turtle Creek Management, LLC, is an investment adviser registered with the United States Securities and Exchange Commission. Turtle Creek Management, LLC, is not a chartered bank, trust company, or depository institution. It is not authorized to accept deposits or trust accounts and is not licensed or regulated by any state or federal banking authority. Turtle Creek Trust Company, LTA, and Turtle Creek Management, LLC, are wholly owned subsidiaries of TCTC Holdings, LLC, which together operate under the assumed name Turtle Creek Trust.”</w:t>
      </w:r>
      <w:bookmarkEnd w:id="0"/>
    </w:p>
    <w:sectPr w:rsidR="002231F9" w:rsidRPr="000B46DA" w:rsidSect="00644BC5">
      <w:headerReference w:type="default" r:id="rId14"/>
      <w:footerReference w:type="default" r:id="rId15"/>
      <w:headerReference w:type="first" r:id="rId16"/>
      <w:footerReference w:type="first" r:id="rId17"/>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2886" w14:textId="77777777" w:rsidR="004C0AE3" w:rsidRDefault="004C0AE3" w:rsidP="004D5236">
      <w:pPr>
        <w:spacing w:after="0" w:line="240" w:lineRule="auto"/>
      </w:pPr>
      <w:r>
        <w:separator/>
      </w:r>
    </w:p>
  </w:endnote>
  <w:endnote w:type="continuationSeparator" w:id="0">
    <w:p w14:paraId="1BE73977" w14:textId="77777777" w:rsidR="004C0AE3" w:rsidRDefault="004C0AE3" w:rsidP="004D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31B4" w14:textId="36CA8BE6" w:rsidR="000B1307" w:rsidRPr="004D5236" w:rsidRDefault="000B1307" w:rsidP="007475F2">
    <w:pPr>
      <w:pStyle w:val="Footer"/>
      <w:jc w:val="center"/>
      <w:rPr>
        <w:rFonts w:ascii="Times New Roman" w:hAnsi="Times New Roman" w:cs="Times New Roman"/>
        <w:sz w:val="20"/>
        <w:szCs w:val="20"/>
      </w:rPr>
    </w:pPr>
    <w:r w:rsidRPr="006012A5">
      <w:rPr>
        <w:rFonts w:ascii="Arial" w:hAnsi="Arial" w:cs="Arial"/>
        <w:color w:val="83A0A9"/>
        <w:spacing w:val="-8"/>
        <w:sz w:val="16"/>
        <w:szCs w:val="16"/>
      </w:rPr>
      <w:t>Turtle Creek Management, LLC</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3838</w:t>
    </w:r>
    <w:r w:rsidRPr="006012A5">
      <w:rPr>
        <w:rFonts w:ascii="Arial" w:hAnsi="Arial" w:cs="Arial"/>
        <w:color w:val="83A0A9"/>
        <w:spacing w:val="-8"/>
        <w:sz w:val="16"/>
        <w:szCs w:val="16"/>
      </w:rPr>
      <w:t xml:space="preserve"> </w:t>
    </w:r>
    <w:r>
      <w:rPr>
        <w:rFonts w:ascii="Arial" w:hAnsi="Arial" w:cs="Arial"/>
        <w:color w:val="83A0A9"/>
        <w:spacing w:val="-8"/>
        <w:sz w:val="16"/>
        <w:szCs w:val="16"/>
      </w:rPr>
      <w:t xml:space="preserve">Oak Lawn Ave </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Suite </w:t>
    </w:r>
    <w:r>
      <w:rPr>
        <w:rFonts w:ascii="Arial" w:hAnsi="Arial" w:cs="Arial"/>
        <w:color w:val="83A0A9"/>
        <w:spacing w:val="-8"/>
        <w:sz w:val="16"/>
        <w:szCs w:val="16"/>
      </w:rPr>
      <w:t>16</w:t>
    </w:r>
    <w:r w:rsidRPr="006012A5">
      <w:rPr>
        <w:rFonts w:ascii="Arial" w:hAnsi="Arial" w:cs="Arial"/>
        <w:color w:val="83A0A9"/>
        <w:spacing w:val="-8"/>
        <w:sz w:val="16"/>
        <w:szCs w:val="16"/>
      </w:rPr>
      <w:t>5</w:t>
    </w:r>
    <w:r>
      <w:rPr>
        <w:rFonts w:ascii="Arial" w:hAnsi="Arial" w:cs="Arial"/>
        <w:color w:val="83A0A9"/>
        <w:spacing w:val="-8"/>
        <w:sz w:val="16"/>
        <w:szCs w:val="16"/>
      </w:rPr>
      <w:t>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Dallas, Texas 752</w:t>
    </w:r>
    <w:r w:rsidR="00483109">
      <w:rPr>
        <w:rFonts w:ascii="Arial" w:hAnsi="Arial" w:cs="Arial"/>
        <w:color w:val="83A0A9"/>
        <w:spacing w:val="-8"/>
        <w:sz w:val="16"/>
        <w:szCs w:val="16"/>
      </w:rPr>
      <w:t>19</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214-468-0106 fax</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turtlecreekdallas.com</w:t>
    </w:r>
  </w:p>
  <w:p w14:paraId="770AC1CB" w14:textId="77777777" w:rsidR="000B1307" w:rsidRDefault="000B1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36BB" w14:textId="77777777" w:rsidR="00537ECA" w:rsidRPr="004D5236" w:rsidRDefault="00537ECA" w:rsidP="00537ECA">
    <w:pPr>
      <w:pStyle w:val="Footer"/>
      <w:jc w:val="center"/>
      <w:rPr>
        <w:rFonts w:ascii="Times New Roman" w:hAnsi="Times New Roman" w:cs="Times New Roman"/>
        <w:sz w:val="20"/>
        <w:szCs w:val="20"/>
      </w:rPr>
    </w:pPr>
    <w:r w:rsidRPr="006012A5">
      <w:rPr>
        <w:rFonts w:ascii="Arial" w:hAnsi="Arial" w:cs="Arial"/>
        <w:color w:val="83A0A9"/>
        <w:spacing w:val="-8"/>
        <w:sz w:val="16"/>
        <w:szCs w:val="16"/>
      </w:rPr>
      <w:t>Turtle Creek Management, LLC</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3838</w:t>
    </w:r>
    <w:r w:rsidRPr="006012A5">
      <w:rPr>
        <w:rFonts w:ascii="Arial" w:hAnsi="Arial" w:cs="Arial"/>
        <w:color w:val="83A0A9"/>
        <w:spacing w:val="-8"/>
        <w:sz w:val="16"/>
        <w:szCs w:val="16"/>
      </w:rPr>
      <w:t xml:space="preserve"> </w:t>
    </w:r>
    <w:r>
      <w:rPr>
        <w:rFonts w:ascii="Arial" w:hAnsi="Arial" w:cs="Arial"/>
        <w:color w:val="83A0A9"/>
        <w:spacing w:val="-8"/>
        <w:sz w:val="16"/>
        <w:szCs w:val="16"/>
      </w:rPr>
      <w:t xml:space="preserve">Oak Lawn Ave </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Suite </w:t>
    </w:r>
    <w:r>
      <w:rPr>
        <w:rFonts w:ascii="Arial" w:hAnsi="Arial" w:cs="Arial"/>
        <w:color w:val="83A0A9"/>
        <w:spacing w:val="-8"/>
        <w:sz w:val="16"/>
        <w:szCs w:val="16"/>
      </w:rPr>
      <w:t>16</w:t>
    </w:r>
    <w:r w:rsidRPr="006012A5">
      <w:rPr>
        <w:rFonts w:ascii="Arial" w:hAnsi="Arial" w:cs="Arial"/>
        <w:color w:val="83A0A9"/>
        <w:spacing w:val="-8"/>
        <w:sz w:val="16"/>
        <w:szCs w:val="16"/>
      </w:rPr>
      <w:t>5</w:t>
    </w:r>
    <w:r>
      <w:rPr>
        <w:rFonts w:ascii="Arial" w:hAnsi="Arial" w:cs="Arial"/>
        <w:color w:val="83A0A9"/>
        <w:spacing w:val="-8"/>
        <w:sz w:val="16"/>
        <w:szCs w:val="16"/>
      </w:rPr>
      <w:t>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Dallas, Texas 752</w:t>
    </w:r>
    <w:r>
      <w:rPr>
        <w:rFonts w:ascii="Arial" w:hAnsi="Arial" w:cs="Arial"/>
        <w:color w:val="83A0A9"/>
        <w:spacing w:val="-8"/>
        <w:sz w:val="16"/>
        <w:szCs w:val="16"/>
      </w:rPr>
      <w:t>19</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214-468-0100</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214-468-0106 fax</w:t>
    </w:r>
    <w:r w:rsidRPr="006012A5">
      <w:rPr>
        <w:rFonts w:ascii="Arial" w:hAnsi="Arial" w:cs="Arial"/>
        <w:color w:val="83A0A9"/>
        <w:spacing w:val="-8"/>
        <w:sz w:val="16"/>
        <w:szCs w:val="16"/>
      </w:rPr>
      <w:sym w:font="Symbol" w:char="F0BD"/>
    </w:r>
    <w:r w:rsidRPr="006012A5">
      <w:rPr>
        <w:rFonts w:ascii="Arial" w:hAnsi="Arial" w:cs="Arial"/>
        <w:color w:val="83A0A9"/>
        <w:spacing w:val="-8"/>
        <w:sz w:val="16"/>
        <w:szCs w:val="16"/>
      </w:rPr>
      <w:t xml:space="preserve"> </w:t>
    </w:r>
    <w:r>
      <w:rPr>
        <w:rFonts w:ascii="Arial" w:hAnsi="Arial" w:cs="Arial"/>
        <w:color w:val="83A0A9"/>
        <w:spacing w:val="-8"/>
        <w:sz w:val="16"/>
        <w:szCs w:val="16"/>
      </w:rPr>
      <w:t>turtlecreekdallas.com</w:t>
    </w:r>
  </w:p>
  <w:p w14:paraId="59073F6D" w14:textId="77777777" w:rsidR="00537ECA" w:rsidRDefault="0053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E146" w14:textId="77777777" w:rsidR="004C0AE3" w:rsidRDefault="004C0AE3" w:rsidP="004D5236">
      <w:pPr>
        <w:spacing w:after="0" w:line="240" w:lineRule="auto"/>
      </w:pPr>
      <w:r>
        <w:separator/>
      </w:r>
    </w:p>
  </w:footnote>
  <w:footnote w:type="continuationSeparator" w:id="0">
    <w:p w14:paraId="26489737" w14:textId="77777777" w:rsidR="004C0AE3" w:rsidRDefault="004C0AE3" w:rsidP="004D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8DB4" w14:textId="7D36AB9B" w:rsidR="000B1307" w:rsidRPr="007475F2" w:rsidRDefault="00636369" w:rsidP="004D5236">
    <w:pPr>
      <w:pStyle w:val="Header"/>
      <w:tabs>
        <w:tab w:val="clear" w:pos="9360"/>
      </w:tabs>
      <w:rPr>
        <w:b/>
        <w:sz w:val="14"/>
        <w:szCs w:val="14"/>
      </w:rPr>
    </w:pPr>
    <w:r>
      <w:rPr>
        <w:b/>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840D" w14:textId="612B5D96" w:rsidR="00E80F35" w:rsidRDefault="00E80F35" w:rsidP="00E80F35">
    <w:pPr>
      <w:pStyle w:val="Header"/>
      <w:jc w:val="center"/>
    </w:pPr>
    <w:r w:rsidRPr="00636369">
      <w:rPr>
        <w:rFonts w:ascii="Times New Roman" w:hAnsi="Times New Roman" w:cs="Times New Roman"/>
        <w:noProof/>
        <w:sz w:val="20"/>
        <w:szCs w:val="20"/>
      </w:rPr>
      <w:drawing>
        <wp:inline distT="0" distB="0" distL="0" distR="0" wp14:anchorId="57B22F50" wp14:editId="664E2222">
          <wp:extent cx="1486277" cy="835234"/>
          <wp:effectExtent l="0" t="0" r="0" b="3175"/>
          <wp:docPr id="850206099" name="Picture 2"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63271" name="Picture 2" descr="A logo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286" cy="8897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DEC"/>
    <w:multiLevelType w:val="hybridMultilevel"/>
    <w:tmpl w:val="0FF6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97694"/>
    <w:multiLevelType w:val="hybridMultilevel"/>
    <w:tmpl w:val="BB0EBB5E"/>
    <w:lvl w:ilvl="0" w:tplc="9C0E68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A77FC"/>
    <w:multiLevelType w:val="hybridMultilevel"/>
    <w:tmpl w:val="8910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38FD"/>
    <w:multiLevelType w:val="hybridMultilevel"/>
    <w:tmpl w:val="0AFE3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64CDE"/>
    <w:multiLevelType w:val="hybridMultilevel"/>
    <w:tmpl w:val="61F2D9FA"/>
    <w:lvl w:ilvl="0" w:tplc="6E0E8060">
      <w:numFmt w:val="bullet"/>
      <w:lvlText w:val="-"/>
      <w:lvlJc w:val="left"/>
      <w:pPr>
        <w:ind w:left="720" w:hanging="360"/>
      </w:pPr>
      <w:rPr>
        <w:rFonts w:ascii="Times New Roman" w:eastAsiaTheme="minorHAnsi" w:hAnsi="Times New Roman" w:cs="Times New Roman" w:hint="default"/>
        <w:color w:val="auto"/>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646EF"/>
    <w:multiLevelType w:val="hybridMultilevel"/>
    <w:tmpl w:val="E6D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A2380"/>
    <w:multiLevelType w:val="hybridMultilevel"/>
    <w:tmpl w:val="EF4AA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E50EAA"/>
    <w:multiLevelType w:val="hybridMultilevel"/>
    <w:tmpl w:val="58808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DB7D7E"/>
    <w:multiLevelType w:val="hybridMultilevel"/>
    <w:tmpl w:val="4E52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F0474"/>
    <w:multiLevelType w:val="hybridMultilevel"/>
    <w:tmpl w:val="EF4AA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90030"/>
    <w:multiLevelType w:val="hybridMultilevel"/>
    <w:tmpl w:val="B28E73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7247229"/>
    <w:multiLevelType w:val="hybridMultilevel"/>
    <w:tmpl w:val="242C2D8C"/>
    <w:lvl w:ilvl="0" w:tplc="5B5C38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91828">
    <w:abstractNumId w:val="8"/>
  </w:num>
  <w:num w:numId="2" w16cid:durableId="1041126138">
    <w:abstractNumId w:val="4"/>
  </w:num>
  <w:num w:numId="3" w16cid:durableId="646905859">
    <w:abstractNumId w:val="11"/>
  </w:num>
  <w:num w:numId="4" w16cid:durableId="622539447">
    <w:abstractNumId w:val="2"/>
  </w:num>
  <w:num w:numId="5" w16cid:durableId="1244027157">
    <w:abstractNumId w:val="3"/>
  </w:num>
  <w:num w:numId="6" w16cid:durableId="334456803">
    <w:abstractNumId w:val="7"/>
  </w:num>
  <w:num w:numId="7" w16cid:durableId="1145316267">
    <w:abstractNumId w:val="5"/>
  </w:num>
  <w:num w:numId="8" w16cid:durableId="1973558321">
    <w:abstractNumId w:val="10"/>
  </w:num>
  <w:num w:numId="9" w16cid:durableId="1246962557">
    <w:abstractNumId w:val="1"/>
  </w:num>
  <w:num w:numId="10" w16cid:durableId="479538271">
    <w:abstractNumId w:val="0"/>
  </w:num>
  <w:num w:numId="11" w16cid:durableId="933367231">
    <w:abstractNumId w:val="9"/>
  </w:num>
  <w:num w:numId="12" w16cid:durableId="484054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D4"/>
    <w:rsid w:val="000007AB"/>
    <w:rsid w:val="000008BD"/>
    <w:rsid w:val="00000B53"/>
    <w:rsid w:val="00000DBC"/>
    <w:rsid w:val="00001A07"/>
    <w:rsid w:val="00001B37"/>
    <w:rsid w:val="00002593"/>
    <w:rsid w:val="0000288F"/>
    <w:rsid w:val="00003230"/>
    <w:rsid w:val="00007060"/>
    <w:rsid w:val="00012FD4"/>
    <w:rsid w:val="00014684"/>
    <w:rsid w:val="00014848"/>
    <w:rsid w:val="00015CA4"/>
    <w:rsid w:val="0001626F"/>
    <w:rsid w:val="000179B2"/>
    <w:rsid w:val="00017C85"/>
    <w:rsid w:val="00020AD2"/>
    <w:rsid w:val="00020D4C"/>
    <w:rsid w:val="0002174C"/>
    <w:rsid w:val="00023B4D"/>
    <w:rsid w:val="0002402F"/>
    <w:rsid w:val="0002466F"/>
    <w:rsid w:val="00026C32"/>
    <w:rsid w:val="00026D2B"/>
    <w:rsid w:val="00030442"/>
    <w:rsid w:val="00032EAE"/>
    <w:rsid w:val="00033496"/>
    <w:rsid w:val="0003388C"/>
    <w:rsid w:val="00034346"/>
    <w:rsid w:val="0003490B"/>
    <w:rsid w:val="000349F3"/>
    <w:rsid w:val="00040C1C"/>
    <w:rsid w:val="000419B6"/>
    <w:rsid w:val="000423F6"/>
    <w:rsid w:val="000443C4"/>
    <w:rsid w:val="00044F61"/>
    <w:rsid w:val="000457F2"/>
    <w:rsid w:val="00046170"/>
    <w:rsid w:val="0004710A"/>
    <w:rsid w:val="0005008C"/>
    <w:rsid w:val="00053E5B"/>
    <w:rsid w:val="00056DEC"/>
    <w:rsid w:val="0006072B"/>
    <w:rsid w:val="00061CC4"/>
    <w:rsid w:val="00062312"/>
    <w:rsid w:val="000624F6"/>
    <w:rsid w:val="00063766"/>
    <w:rsid w:val="00063C5D"/>
    <w:rsid w:val="00064817"/>
    <w:rsid w:val="00065A52"/>
    <w:rsid w:val="00066F56"/>
    <w:rsid w:val="00067ADB"/>
    <w:rsid w:val="00067EBC"/>
    <w:rsid w:val="00073AF8"/>
    <w:rsid w:val="00073C38"/>
    <w:rsid w:val="00075A19"/>
    <w:rsid w:val="00080BB2"/>
    <w:rsid w:val="00081C80"/>
    <w:rsid w:val="0008457F"/>
    <w:rsid w:val="000850F3"/>
    <w:rsid w:val="00086C5E"/>
    <w:rsid w:val="000910DD"/>
    <w:rsid w:val="0009229E"/>
    <w:rsid w:val="00094F06"/>
    <w:rsid w:val="000958B2"/>
    <w:rsid w:val="0009684A"/>
    <w:rsid w:val="000975A4"/>
    <w:rsid w:val="000A1BA7"/>
    <w:rsid w:val="000A3BEA"/>
    <w:rsid w:val="000A4423"/>
    <w:rsid w:val="000A4C23"/>
    <w:rsid w:val="000A62F6"/>
    <w:rsid w:val="000B1307"/>
    <w:rsid w:val="000B2BBA"/>
    <w:rsid w:val="000B3B67"/>
    <w:rsid w:val="000B46DA"/>
    <w:rsid w:val="000B5BAF"/>
    <w:rsid w:val="000B5E0B"/>
    <w:rsid w:val="000B6924"/>
    <w:rsid w:val="000B7AEF"/>
    <w:rsid w:val="000C0DC7"/>
    <w:rsid w:val="000C17CB"/>
    <w:rsid w:val="000C1CAC"/>
    <w:rsid w:val="000C3AFA"/>
    <w:rsid w:val="000C44A9"/>
    <w:rsid w:val="000C4A05"/>
    <w:rsid w:val="000C5046"/>
    <w:rsid w:val="000C51A6"/>
    <w:rsid w:val="000C7222"/>
    <w:rsid w:val="000C7F30"/>
    <w:rsid w:val="000D0FE8"/>
    <w:rsid w:val="000D1122"/>
    <w:rsid w:val="000D1365"/>
    <w:rsid w:val="000D13E1"/>
    <w:rsid w:val="000D1FE8"/>
    <w:rsid w:val="000D2314"/>
    <w:rsid w:val="000D4CE0"/>
    <w:rsid w:val="000D5B73"/>
    <w:rsid w:val="000D6E0B"/>
    <w:rsid w:val="000D7440"/>
    <w:rsid w:val="000E035F"/>
    <w:rsid w:val="000E2415"/>
    <w:rsid w:val="000E2AF0"/>
    <w:rsid w:val="000E37C6"/>
    <w:rsid w:val="000E5FBB"/>
    <w:rsid w:val="000F21F1"/>
    <w:rsid w:val="000F443D"/>
    <w:rsid w:val="000F468B"/>
    <w:rsid w:val="000F5D0C"/>
    <w:rsid w:val="000F644F"/>
    <w:rsid w:val="0010086D"/>
    <w:rsid w:val="001010A3"/>
    <w:rsid w:val="001017A9"/>
    <w:rsid w:val="00101E21"/>
    <w:rsid w:val="001022FD"/>
    <w:rsid w:val="00102BA9"/>
    <w:rsid w:val="00103039"/>
    <w:rsid w:val="001033EF"/>
    <w:rsid w:val="00103649"/>
    <w:rsid w:val="00103C9F"/>
    <w:rsid w:val="001043AC"/>
    <w:rsid w:val="0010562F"/>
    <w:rsid w:val="001058B2"/>
    <w:rsid w:val="001064C2"/>
    <w:rsid w:val="00106A73"/>
    <w:rsid w:val="00111A03"/>
    <w:rsid w:val="00111F4D"/>
    <w:rsid w:val="00111F7B"/>
    <w:rsid w:val="001135A9"/>
    <w:rsid w:val="001142EB"/>
    <w:rsid w:val="00115038"/>
    <w:rsid w:val="00121B8D"/>
    <w:rsid w:val="001223D3"/>
    <w:rsid w:val="00122EA1"/>
    <w:rsid w:val="00126257"/>
    <w:rsid w:val="00126C89"/>
    <w:rsid w:val="00130C50"/>
    <w:rsid w:val="001314E2"/>
    <w:rsid w:val="00132B39"/>
    <w:rsid w:val="00132E21"/>
    <w:rsid w:val="0013327C"/>
    <w:rsid w:val="001338B5"/>
    <w:rsid w:val="001354C9"/>
    <w:rsid w:val="00135E4C"/>
    <w:rsid w:val="0013679B"/>
    <w:rsid w:val="00137F97"/>
    <w:rsid w:val="00141B01"/>
    <w:rsid w:val="001423C0"/>
    <w:rsid w:val="00142C86"/>
    <w:rsid w:val="00142F78"/>
    <w:rsid w:val="00144208"/>
    <w:rsid w:val="00144AC6"/>
    <w:rsid w:val="001452B7"/>
    <w:rsid w:val="00145493"/>
    <w:rsid w:val="001460C1"/>
    <w:rsid w:val="001463F0"/>
    <w:rsid w:val="0014714E"/>
    <w:rsid w:val="00147CEF"/>
    <w:rsid w:val="00150C8B"/>
    <w:rsid w:val="001529E4"/>
    <w:rsid w:val="0015306F"/>
    <w:rsid w:val="00153940"/>
    <w:rsid w:val="00154213"/>
    <w:rsid w:val="0015596D"/>
    <w:rsid w:val="00156F71"/>
    <w:rsid w:val="00160FB4"/>
    <w:rsid w:val="00161109"/>
    <w:rsid w:val="00161328"/>
    <w:rsid w:val="001617A7"/>
    <w:rsid w:val="001621CD"/>
    <w:rsid w:val="00162EFB"/>
    <w:rsid w:val="00162F96"/>
    <w:rsid w:val="00163976"/>
    <w:rsid w:val="00163AB3"/>
    <w:rsid w:val="00166A74"/>
    <w:rsid w:val="00167C31"/>
    <w:rsid w:val="001704E5"/>
    <w:rsid w:val="00171378"/>
    <w:rsid w:val="00171B17"/>
    <w:rsid w:val="00171BAB"/>
    <w:rsid w:val="00173347"/>
    <w:rsid w:val="0017509F"/>
    <w:rsid w:val="0018070C"/>
    <w:rsid w:val="001810EB"/>
    <w:rsid w:val="00181AC3"/>
    <w:rsid w:val="00183349"/>
    <w:rsid w:val="00183574"/>
    <w:rsid w:val="00183C01"/>
    <w:rsid w:val="00184962"/>
    <w:rsid w:val="0018698E"/>
    <w:rsid w:val="00191144"/>
    <w:rsid w:val="00191E1C"/>
    <w:rsid w:val="001922D4"/>
    <w:rsid w:val="001924E6"/>
    <w:rsid w:val="00192DB2"/>
    <w:rsid w:val="001933F3"/>
    <w:rsid w:val="00193FDE"/>
    <w:rsid w:val="0019404F"/>
    <w:rsid w:val="00194362"/>
    <w:rsid w:val="00194DD7"/>
    <w:rsid w:val="00195F31"/>
    <w:rsid w:val="00196965"/>
    <w:rsid w:val="00196B50"/>
    <w:rsid w:val="00196F5B"/>
    <w:rsid w:val="001A079A"/>
    <w:rsid w:val="001A2DDD"/>
    <w:rsid w:val="001A3723"/>
    <w:rsid w:val="001A3876"/>
    <w:rsid w:val="001A3F2C"/>
    <w:rsid w:val="001A557F"/>
    <w:rsid w:val="001A5FBB"/>
    <w:rsid w:val="001A6EEA"/>
    <w:rsid w:val="001B05D9"/>
    <w:rsid w:val="001B09D2"/>
    <w:rsid w:val="001B1803"/>
    <w:rsid w:val="001B1DDB"/>
    <w:rsid w:val="001B3F43"/>
    <w:rsid w:val="001C020E"/>
    <w:rsid w:val="001C0587"/>
    <w:rsid w:val="001C080C"/>
    <w:rsid w:val="001C1A31"/>
    <w:rsid w:val="001C2DD0"/>
    <w:rsid w:val="001C3F5C"/>
    <w:rsid w:val="001C4B26"/>
    <w:rsid w:val="001C56B4"/>
    <w:rsid w:val="001C5E11"/>
    <w:rsid w:val="001C6E3D"/>
    <w:rsid w:val="001C7F4D"/>
    <w:rsid w:val="001D0422"/>
    <w:rsid w:val="001D05FF"/>
    <w:rsid w:val="001D0C46"/>
    <w:rsid w:val="001D0D2D"/>
    <w:rsid w:val="001D2009"/>
    <w:rsid w:val="001D20F5"/>
    <w:rsid w:val="001D3244"/>
    <w:rsid w:val="001D51E4"/>
    <w:rsid w:val="001D59E0"/>
    <w:rsid w:val="001D5BD6"/>
    <w:rsid w:val="001D66BF"/>
    <w:rsid w:val="001E011D"/>
    <w:rsid w:val="001E04F4"/>
    <w:rsid w:val="001E1D74"/>
    <w:rsid w:val="001E2768"/>
    <w:rsid w:val="001E36C9"/>
    <w:rsid w:val="001E599A"/>
    <w:rsid w:val="001E5DBF"/>
    <w:rsid w:val="001E6170"/>
    <w:rsid w:val="001E6892"/>
    <w:rsid w:val="001E7CAD"/>
    <w:rsid w:val="001F3AA4"/>
    <w:rsid w:val="001F6E3F"/>
    <w:rsid w:val="00201D82"/>
    <w:rsid w:val="002033AB"/>
    <w:rsid w:val="00204FA1"/>
    <w:rsid w:val="002053A4"/>
    <w:rsid w:val="002059E6"/>
    <w:rsid w:val="0020654E"/>
    <w:rsid w:val="00207349"/>
    <w:rsid w:val="002077E7"/>
    <w:rsid w:val="00207E2A"/>
    <w:rsid w:val="00210373"/>
    <w:rsid w:val="00210514"/>
    <w:rsid w:val="00210898"/>
    <w:rsid w:val="00212390"/>
    <w:rsid w:val="00212D47"/>
    <w:rsid w:val="00214273"/>
    <w:rsid w:val="002163BF"/>
    <w:rsid w:val="00217244"/>
    <w:rsid w:val="002211B4"/>
    <w:rsid w:val="002231F9"/>
    <w:rsid w:val="00223564"/>
    <w:rsid w:val="002259D5"/>
    <w:rsid w:val="00230796"/>
    <w:rsid w:val="002311B4"/>
    <w:rsid w:val="00232450"/>
    <w:rsid w:val="002329F1"/>
    <w:rsid w:val="00233165"/>
    <w:rsid w:val="002347DB"/>
    <w:rsid w:val="00234C25"/>
    <w:rsid w:val="00235B07"/>
    <w:rsid w:val="002371EA"/>
    <w:rsid w:val="002406BA"/>
    <w:rsid w:val="00240706"/>
    <w:rsid w:val="0024225C"/>
    <w:rsid w:val="00242CCE"/>
    <w:rsid w:val="002433C2"/>
    <w:rsid w:val="002445B6"/>
    <w:rsid w:val="002446CD"/>
    <w:rsid w:val="00245694"/>
    <w:rsid w:val="00245A77"/>
    <w:rsid w:val="00245A93"/>
    <w:rsid w:val="00246A24"/>
    <w:rsid w:val="0024744B"/>
    <w:rsid w:val="002501FA"/>
    <w:rsid w:val="00251238"/>
    <w:rsid w:val="002522AE"/>
    <w:rsid w:val="00252551"/>
    <w:rsid w:val="002544FF"/>
    <w:rsid w:val="00256855"/>
    <w:rsid w:val="002615F9"/>
    <w:rsid w:val="00262497"/>
    <w:rsid w:val="002625D8"/>
    <w:rsid w:val="00262E7F"/>
    <w:rsid w:val="00263628"/>
    <w:rsid w:val="00263CF9"/>
    <w:rsid w:val="00263D01"/>
    <w:rsid w:val="002673BE"/>
    <w:rsid w:val="0026766A"/>
    <w:rsid w:val="00270EA2"/>
    <w:rsid w:val="002710D7"/>
    <w:rsid w:val="0027266F"/>
    <w:rsid w:val="00272A97"/>
    <w:rsid w:val="002773CF"/>
    <w:rsid w:val="00277A45"/>
    <w:rsid w:val="00277C02"/>
    <w:rsid w:val="00280237"/>
    <w:rsid w:val="00282647"/>
    <w:rsid w:val="0028351C"/>
    <w:rsid w:val="00284022"/>
    <w:rsid w:val="00284BC7"/>
    <w:rsid w:val="00284FE6"/>
    <w:rsid w:val="00285A8C"/>
    <w:rsid w:val="00285B19"/>
    <w:rsid w:val="00285CF6"/>
    <w:rsid w:val="00286CA2"/>
    <w:rsid w:val="0029268E"/>
    <w:rsid w:val="00294179"/>
    <w:rsid w:val="00295228"/>
    <w:rsid w:val="002953AF"/>
    <w:rsid w:val="002956C1"/>
    <w:rsid w:val="002956CE"/>
    <w:rsid w:val="00295AEF"/>
    <w:rsid w:val="00295BAC"/>
    <w:rsid w:val="0029683F"/>
    <w:rsid w:val="00296EEA"/>
    <w:rsid w:val="00297EF3"/>
    <w:rsid w:val="002A0323"/>
    <w:rsid w:val="002A111E"/>
    <w:rsid w:val="002A2B68"/>
    <w:rsid w:val="002A3E20"/>
    <w:rsid w:val="002A446E"/>
    <w:rsid w:val="002A5E97"/>
    <w:rsid w:val="002A7170"/>
    <w:rsid w:val="002A7962"/>
    <w:rsid w:val="002B0072"/>
    <w:rsid w:val="002B043D"/>
    <w:rsid w:val="002B06C6"/>
    <w:rsid w:val="002B074F"/>
    <w:rsid w:val="002B075C"/>
    <w:rsid w:val="002B17C9"/>
    <w:rsid w:val="002B2666"/>
    <w:rsid w:val="002B2A91"/>
    <w:rsid w:val="002B3538"/>
    <w:rsid w:val="002B3E1D"/>
    <w:rsid w:val="002B4F65"/>
    <w:rsid w:val="002B516F"/>
    <w:rsid w:val="002B5E7C"/>
    <w:rsid w:val="002C0385"/>
    <w:rsid w:val="002C099A"/>
    <w:rsid w:val="002C0C0E"/>
    <w:rsid w:val="002C0D53"/>
    <w:rsid w:val="002C0EF5"/>
    <w:rsid w:val="002C239D"/>
    <w:rsid w:val="002C27C7"/>
    <w:rsid w:val="002C3DA9"/>
    <w:rsid w:val="002C4019"/>
    <w:rsid w:val="002C46AF"/>
    <w:rsid w:val="002C6F96"/>
    <w:rsid w:val="002C76DD"/>
    <w:rsid w:val="002D0303"/>
    <w:rsid w:val="002D0903"/>
    <w:rsid w:val="002D1210"/>
    <w:rsid w:val="002D1812"/>
    <w:rsid w:val="002D2BDC"/>
    <w:rsid w:val="002D35A3"/>
    <w:rsid w:val="002D3BE6"/>
    <w:rsid w:val="002D4560"/>
    <w:rsid w:val="002D4618"/>
    <w:rsid w:val="002D49E0"/>
    <w:rsid w:val="002D549F"/>
    <w:rsid w:val="002D6C51"/>
    <w:rsid w:val="002E00A0"/>
    <w:rsid w:val="002E0CE2"/>
    <w:rsid w:val="002E0D84"/>
    <w:rsid w:val="002E1089"/>
    <w:rsid w:val="002E29E8"/>
    <w:rsid w:val="002E36B8"/>
    <w:rsid w:val="002E3A2F"/>
    <w:rsid w:val="002E4171"/>
    <w:rsid w:val="002E450B"/>
    <w:rsid w:val="002E4641"/>
    <w:rsid w:val="002E48D6"/>
    <w:rsid w:val="002E5580"/>
    <w:rsid w:val="002E5CE2"/>
    <w:rsid w:val="002E6991"/>
    <w:rsid w:val="002E6B01"/>
    <w:rsid w:val="002E6DCB"/>
    <w:rsid w:val="002E7E64"/>
    <w:rsid w:val="002F017F"/>
    <w:rsid w:val="002F0E50"/>
    <w:rsid w:val="002F1400"/>
    <w:rsid w:val="002F1FD7"/>
    <w:rsid w:val="002F2163"/>
    <w:rsid w:val="002F3CA4"/>
    <w:rsid w:val="002F533A"/>
    <w:rsid w:val="002F63F7"/>
    <w:rsid w:val="002F74CE"/>
    <w:rsid w:val="002F7E85"/>
    <w:rsid w:val="003000E4"/>
    <w:rsid w:val="00300750"/>
    <w:rsid w:val="00300C7E"/>
    <w:rsid w:val="00303E70"/>
    <w:rsid w:val="0030460B"/>
    <w:rsid w:val="00307F94"/>
    <w:rsid w:val="003104F0"/>
    <w:rsid w:val="0031131A"/>
    <w:rsid w:val="00311555"/>
    <w:rsid w:val="00313282"/>
    <w:rsid w:val="00314276"/>
    <w:rsid w:val="003144FB"/>
    <w:rsid w:val="00314A62"/>
    <w:rsid w:val="00314F27"/>
    <w:rsid w:val="0031569E"/>
    <w:rsid w:val="003157BD"/>
    <w:rsid w:val="00322B66"/>
    <w:rsid w:val="00323A3B"/>
    <w:rsid w:val="0032462C"/>
    <w:rsid w:val="00326C49"/>
    <w:rsid w:val="00326F69"/>
    <w:rsid w:val="003279A2"/>
    <w:rsid w:val="0033248F"/>
    <w:rsid w:val="00332695"/>
    <w:rsid w:val="00333553"/>
    <w:rsid w:val="003339EF"/>
    <w:rsid w:val="0033426F"/>
    <w:rsid w:val="0033538A"/>
    <w:rsid w:val="003362B3"/>
    <w:rsid w:val="00336666"/>
    <w:rsid w:val="00340B7F"/>
    <w:rsid w:val="00341001"/>
    <w:rsid w:val="0034646A"/>
    <w:rsid w:val="00346BF0"/>
    <w:rsid w:val="00346E29"/>
    <w:rsid w:val="003479CA"/>
    <w:rsid w:val="00352090"/>
    <w:rsid w:val="00352DA0"/>
    <w:rsid w:val="00352EFF"/>
    <w:rsid w:val="00354355"/>
    <w:rsid w:val="0035621B"/>
    <w:rsid w:val="003568D5"/>
    <w:rsid w:val="00357295"/>
    <w:rsid w:val="003601AD"/>
    <w:rsid w:val="0036037B"/>
    <w:rsid w:val="00361DDE"/>
    <w:rsid w:val="0036229B"/>
    <w:rsid w:val="0036338F"/>
    <w:rsid w:val="00364740"/>
    <w:rsid w:val="003648EC"/>
    <w:rsid w:val="00364962"/>
    <w:rsid w:val="00364AEF"/>
    <w:rsid w:val="003676F2"/>
    <w:rsid w:val="00370E15"/>
    <w:rsid w:val="00371690"/>
    <w:rsid w:val="00371929"/>
    <w:rsid w:val="00371C56"/>
    <w:rsid w:val="00372CCF"/>
    <w:rsid w:val="0037431B"/>
    <w:rsid w:val="0037464D"/>
    <w:rsid w:val="003746CB"/>
    <w:rsid w:val="00375C6A"/>
    <w:rsid w:val="00380093"/>
    <w:rsid w:val="00380261"/>
    <w:rsid w:val="0038142A"/>
    <w:rsid w:val="0038147F"/>
    <w:rsid w:val="00382312"/>
    <w:rsid w:val="00382DD4"/>
    <w:rsid w:val="00383827"/>
    <w:rsid w:val="00383EE1"/>
    <w:rsid w:val="00384100"/>
    <w:rsid w:val="00384B66"/>
    <w:rsid w:val="00385559"/>
    <w:rsid w:val="00385CA0"/>
    <w:rsid w:val="00385EAA"/>
    <w:rsid w:val="00386637"/>
    <w:rsid w:val="003878D6"/>
    <w:rsid w:val="00390A3B"/>
    <w:rsid w:val="003925E5"/>
    <w:rsid w:val="0039377A"/>
    <w:rsid w:val="00394E08"/>
    <w:rsid w:val="003956C1"/>
    <w:rsid w:val="003A248D"/>
    <w:rsid w:val="003A3249"/>
    <w:rsid w:val="003A3892"/>
    <w:rsid w:val="003A4632"/>
    <w:rsid w:val="003A5357"/>
    <w:rsid w:val="003A59DE"/>
    <w:rsid w:val="003A64A5"/>
    <w:rsid w:val="003A6CA6"/>
    <w:rsid w:val="003A6D5B"/>
    <w:rsid w:val="003A78BA"/>
    <w:rsid w:val="003A792C"/>
    <w:rsid w:val="003A7F96"/>
    <w:rsid w:val="003B1D05"/>
    <w:rsid w:val="003B6E7E"/>
    <w:rsid w:val="003B7D8E"/>
    <w:rsid w:val="003C08DE"/>
    <w:rsid w:val="003C3D14"/>
    <w:rsid w:val="003C3FBE"/>
    <w:rsid w:val="003C41B3"/>
    <w:rsid w:val="003C6863"/>
    <w:rsid w:val="003D055C"/>
    <w:rsid w:val="003D22C0"/>
    <w:rsid w:val="003D3877"/>
    <w:rsid w:val="003D39E2"/>
    <w:rsid w:val="003D3E65"/>
    <w:rsid w:val="003D4A54"/>
    <w:rsid w:val="003D5277"/>
    <w:rsid w:val="003D6404"/>
    <w:rsid w:val="003D6A03"/>
    <w:rsid w:val="003D736A"/>
    <w:rsid w:val="003D7CF6"/>
    <w:rsid w:val="003E0FAD"/>
    <w:rsid w:val="003E134F"/>
    <w:rsid w:val="003E18ED"/>
    <w:rsid w:val="003E1C22"/>
    <w:rsid w:val="003E1ED7"/>
    <w:rsid w:val="003E2063"/>
    <w:rsid w:val="003E2CE8"/>
    <w:rsid w:val="003E319A"/>
    <w:rsid w:val="003E6233"/>
    <w:rsid w:val="003E65E7"/>
    <w:rsid w:val="003E7C52"/>
    <w:rsid w:val="003F07DD"/>
    <w:rsid w:val="003F0E56"/>
    <w:rsid w:val="003F1A63"/>
    <w:rsid w:val="003F2C03"/>
    <w:rsid w:val="003F70D1"/>
    <w:rsid w:val="003F76B4"/>
    <w:rsid w:val="0040031B"/>
    <w:rsid w:val="00400D25"/>
    <w:rsid w:val="0040169A"/>
    <w:rsid w:val="00401AC2"/>
    <w:rsid w:val="004024B0"/>
    <w:rsid w:val="00402D9A"/>
    <w:rsid w:val="004032CC"/>
    <w:rsid w:val="0040442C"/>
    <w:rsid w:val="00404B17"/>
    <w:rsid w:val="004071A4"/>
    <w:rsid w:val="00407E41"/>
    <w:rsid w:val="004109E4"/>
    <w:rsid w:val="00410D7B"/>
    <w:rsid w:val="0041298D"/>
    <w:rsid w:val="00413A77"/>
    <w:rsid w:val="0041400E"/>
    <w:rsid w:val="0041549C"/>
    <w:rsid w:val="00416229"/>
    <w:rsid w:val="004162AC"/>
    <w:rsid w:val="004163E3"/>
    <w:rsid w:val="004216AC"/>
    <w:rsid w:val="00423F68"/>
    <w:rsid w:val="00425891"/>
    <w:rsid w:val="0042631C"/>
    <w:rsid w:val="004313B5"/>
    <w:rsid w:val="004324A6"/>
    <w:rsid w:val="00432D6C"/>
    <w:rsid w:val="00433CD7"/>
    <w:rsid w:val="00434DEF"/>
    <w:rsid w:val="004353B2"/>
    <w:rsid w:val="004367D9"/>
    <w:rsid w:val="00436DFC"/>
    <w:rsid w:val="00436E7E"/>
    <w:rsid w:val="0043786D"/>
    <w:rsid w:val="00440485"/>
    <w:rsid w:val="0044135E"/>
    <w:rsid w:val="00442C58"/>
    <w:rsid w:val="0044318F"/>
    <w:rsid w:val="00444CA9"/>
    <w:rsid w:val="00445A4C"/>
    <w:rsid w:val="0044699C"/>
    <w:rsid w:val="00447AA5"/>
    <w:rsid w:val="00447F83"/>
    <w:rsid w:val="00452944"/>
    <w:rsid w:val="00452B79"/>
    <w:rsid w:val="00454366"/>
    <w:rsid w:val="00454BC4"/>
    <w:rsid w:val="00454F49"/>
    <w:rsid w:val="004553D1"/>
    <w:rsid w:val="00455707"/>
    <w:rsid w:val="00457C62"/>
    <w:rsid w:val="004601FE"/>
    <w:rsid w:val="004606B6"/>
    <w:rsid w:val="00460B71"/>
    <w:rsid w:val="004645AD"/>
    <w:rsid w:val="004664AA"/>
    <w:rsid w:val="00466C2C"/>
    <w:rsid w:val="004678AB"/>
    <w:rsid w:val="00467B7F"/>
    <w:rsid w:val="00470A39"/>
    <w:rsid w:val="00470F58"/>
    <w:rsid w:val="0047153C"/>
    <w:rsid w:val="00471C39"/>
    <w:rsid w:val="004722FA"/>
    <w:rsid w:val="00473658"/>
    <w:rsid w:val="0047416A"/>
    <w:rsid w:val="00476181"/>
    <w:rsid w:val="00476E0C"/>
    <w:rsid w:val="004825DC"/>
    <w:rsid w:val="00482CDF"/>
    <w:rsid w:val="004830AE"/>
    <w:rsid w:val="00483109"/>
    <w:rsid w:val="0048536F"/>
    <w:rsid w:val="00486CE7"/>
    <w:rsid w:val="0049019B"/>
    <w:rsid w:val="00490C57"/>
    <w:rsid w:val="00491046"/>
    <w:rsid w:val="0049261E"/>
    <w:rsid w:val="00494BE8"/>
    <w:rsid w:val="00495AF7"/>
    <w:rsid w:val="00495B9A"/>
    <w:rsid w:val="004966C4"/>
    <w:rsid w:val="004969A5"/>
    <w:rsid w:val="00496F56"/>
    <w:rsid w:val="004A1500"/>
    <w:rsid w:val="004A3D6D"/>
    <w:rsid w:val="004A45B0"/>
    <w:rsid w:val="004A45B3"/>
    <w:rsid w:val="004A462B"/>
    <w:rsid w:val="004B021E"/>
    <w:rsid w:val="004B03D8"/>
    <w:rsid w:val="004B08AB"/>
    <w:rsid w:val="004B16C2"/>
    <w:rsid w:val="004B342E"/>
    <w:rsid w:val="004B3F6B"/>
    <w:rsid w:val="004B51A3"/>
    <w:rsid w:val="004B5726"/>
    <w:rsid w:val="004B694A"/>
    <w:rsid w:val="004B727C"/>
    <w:rsid w:val="004C0AE3"/>
    <w:rsid w:val="004C0E9E"/>
    <w:rsid w:val="004C17EC"/>
    <w:rsid w:val="004C3E51"/>
    <w:rsid w:val="004C5660"/>
    <w:rsid w:val="004C5789"/>
    <w:rsid w:val="004C68AE"/>
    <w:rsid w:val="004D046B"/>
    <w:rsid w:val="004D072D"/>
    <w:rsid w:val="004D1AF8"/>
    <w:rsid w:val="004D1E86"/>
    <w:rsid w:val="004D26FA"/>
    <w:rsid w:val="004D286D"/>
    <w:rsid w:val="004D28EF"/>
    <w:rsid w:val="004D2E87"/>
    <w:rsid w:val="004D50E6"/>
    <w:rsid w:val="004D5236"/>
    <w:rsid w:val="004D541C"/>
    <w:rsid w:val="004D616F"/>
    <w:rsid w:val="004D63E8"/>
    <w:rsid w:val="004D6950"/>
    <w:rsid w:val="004D6F7B"/>
    <w:rsid w:val="004E104E"/>
    <w:rsid w:val="004E343E"/>
    <w:rsid w:val="004E3DC9"/>
    <w:rsid w:val="004E4C0A"/>
    <w:rsid w:val="004F09B4"/>
    <w:rsid w:val="004F0CA8"/>
    <w:rsid w:val="004F1398"/>
    <w:rsid w:val="004F15E9"/>
    <w:rsid w:val="004F2AB5"/>
    <w:rsid w:val="004F36C9"/>
    <w:rsid w:val="004F3780"/>
    <w:rsid w:val="004F3D7A"/>
    <w:rsid w:val="004F643E"/>
    <w:rsid w:val="004F7221"/>
    <w:rsid w:val="004F7C52"/>
    <w:rsid w:val="00500889"/>
    <w:rsid w:val="00501167"/>
    <w:rsid w:val="00501388"/>
    <w:rsid w:val="00502F77"/>
    <w:rsid w:val="00504C7B"/>
    <w:rsid w:val="0050598D"/>
    <w:rsid w:val="00505E8F"/>
    <w:rsid w:val="0050700E"/>
    <w:rsid w:val="00510F14"/>
    <w:rsid w:val="005116FB"/>
    <w:rsid w:val="0051193D"/>
    <w:rsid w:val="0051244C"/>
    <w:rsid w:val="00512A09"/>
    <w:rsid w:val="005135B9"/>
    <w:rsid w:val="005152B9"/>
    <w:rsid w:val="00515357"/>
    <w:rsid w:val="00515790"/>
    <w:rsid w:val="005160EE"/>
    <w:rsid w:val="0051708A"/>
    <w:rsid w:val="00521BB9"/>
    <w:rsid w:val="00522236"/>
    <w:rsid w:val="0052346F"/>
    <w:rsid w:val="0052411F"/>
    <w:rsid w:val="005243C7"/>
    <w:rsid w:val="005256A6"/>
    <w:rsid w:val="00526552"/>
    <w:rsid w:val="00527012"/>
    <w:rsid w:val="005275EC"/>
    <w:rsid w:val="0053049E"/>
    <w:rsid w:val="005308F4"/>
    <w:rsid w:val="0053149E"/>
    <w:rsid w:val="005315AD"/>
    <w:rsid w:val="00531E9F"/>
    <w:rsid w:val="00532BC2"/>
    <w:rsid w:val="00532D11"/>
    <w:rsid w:val="0053487B"/>
    <w:rsid w:val="0053567E"/>
    <w:rsid w:val="00537ECA"/>
    <w:rsid w:val="0054053D"/>
    <w:rsid w:val="00540B66"/>
    <w:rsid w:val="00540C47"/>
    <w:rsid w:val="005436EC"/>
    <w:rsid w:val="00543AE7"/>
    <w:rsid w:val="0054442A"/>
    <w:rsid w:val="005466CA"/>
    <w:rsid w:val="00546B89"/>
    <w:rsid w:val="00546BB6"/>
    <w:rsid w:val="0055462B"/>
    <w:rsid w:val="0055495F"/>
    <w:rsid w:val="005555D8"/>
    <w:rsid w:val="00556C3A"/>
    <w:rsid w:val="0055737E"/>
    <w:rsid w:val="00557777"/>
    <w:rsid w:val="005600F9"/>
    <w:rsid w:val="00560194"/>
    <w:rsid w:val="005602FD"/>
    <w:rsid w:val="0056074A"/>
    <w:rsid w:val="00561521"/>
    <w:rsid w:val="00561971"/>
    <w:rsid w:val="00562256"/>
    <w:rsid w:val="00562CC7"/>
    <w:rsid w:val="00563168"/>
    <w:rsid w:val="00565428"/>
    <w:rsid w:val="00565D14"/>
    <w:rsid w:val="00566FC7"/>
    <w:rsid w:val="00567227"/>
    <w:rsid w:val="0056748B"/>
    <w:rsid w:val="00567872"/>
    <w:rsid w:val="00567AC5"/>
    <w:rsid w:val="00570E2C"/>
    <w:rsid w:val="0057399B"/>
    <w:rsid w:val="00576AC9"/>
    <w:rsid w:val="00580079"/>
    <w:rsid w:val="00580183"/>
    <w:rsid w:val="005814E1"/>
    <w:rsid w:val="00582ADC"/>
    <w:rsid w:val="0058354D"/>
    <w:rsid w:val="00583C82"/>
    <w:rsid w:val="005848A1"/>
    <w:rsid w:val="00585FC1"/>
    <w:rsid w:val="00586699"/>
    <w:rsid w:val="005872CF"/>
    <w:rsid w:val="00590FB1"/>
    <w:rsid w:val="00595229"/>
    <w:rsid w:val="00595704"/>
    <w:rsid w:val="005966FF"/>
    <w:rsid w:val="005A0CAE"/>
    <w:rsid w:val="005A269B"/>
    <w:rsid w:val="005A29E7"/>
    <w:rsid w:val="005A3FF4"/>
    <w:rsid w:val="005A6A5D"/>
    <w:rsid w:val="005A6FA5"/>
    <w:rsid w:val="005A7D1E"/>
    <w:rsid w:val="005B1F35"/>
    <w:rsid w:val="005B58A9"/>
    <w:rsid w:val="005B5991"/>
    <w:rsid w:val="005B650D"/>
    <w:rsid w:val="005B69C0"/>
    <w:rsid w:val="005C0E57"/>
    <w:rsid w:val="005C10F2"/>
    <w:rsid w:val="005C1AAE"/>
    <w:rsid w:val="005C31A4"/>
    <w:rsid w:val="005C31F9"/>
    <w:rsid w:val="005C47BA"/>
    <w:rsid w:val="005C731A"/>
    <w:rsid w:val="005D0D4C"/>
    <w:rsid w:val="005D12F1"/>
    <w:rsid w:val="005D1A81"/>
    <w:rsid w:val="005D2511"/>
    <w:rsid w:val="005D2D2E"/>
    <w:rsid w:val="005D6DF8"/>
    <w:rsid w:val="005D7D12"/>
    <w:rsid w:val="005D7F34"/>
    <w:rsid w:val="005E20D7"/>
    <w:rsid w:val="005E2575"/>
    <w:rsid w:val="005E2982"/>
    <w:rsid w:val="005E3645"/>
    <w:rsid w:val="005E53A8"/>
    <w:rsid w:val="005E7D46"/>
    <w:rsid w:val="005F28AB"/>
    <w:rsid w:val="005F28E4"/>
    <w:rsid w:val="005F2C26"/>
    <w:rsid w:val="005F33CA"/>
    <w:rsid w:val="005F3684"/>
    <w:rsid w:val="005F37A0"/>
    <w:rsid w:val="005F3933"/>
    <w:rsid w:val="005F422E"/>
    <w:rsid w:val="005F5DB4"/>
    <w:rsid w:val="005F75CA"/>
    <w:rsid w:val="005F7987"/>
    <w:rsid w:val="005F7F55"/>
    <w:rsid w:val="005F7F6F"/>
    <w:rsid w:val="006016A1"/>
    <w:rsid w:val="00601D78"/>
    <w:rsid w:val="00601F8E"/>
    <w:rsid w:val="00602B64"/>
    <w:rsid w:val="0060361E"/>
    <w:rsid w:val="006041B5"/>
    <w:rsid w:val="006050DC"/>
    <w:rsid w:val="00606031"/>
    <w:rsid w:val="006060A0"/>
    <w:rsid w:val="00606FC9"/>
    <w:rsid w:val="0060788D"/>
    <w:rsid w:val="00607A7E"/>
    <w:rsid w:val="00610348"/>
    <w:rsid w:val="00611E7C"/>
    <w:rsid w:val="006128B4"/>
    <w:rsid w:val="00614363"/>
    <w:rsid w:val="006146D7"/>
    <w:rsid w:val="00615347"/>
    <w:rsid w:val="0061543F"/>
    <w:rsid w:val="00616F07"/>
    <w:rsid w:val="00617483"/>
    <w:rsid w:val="00620F5C"/>
    <w:rsid w:val="00622E9B"/>
    <w:rsid w:val="0062794B"/>
    <w:rsid w:val="00627FE1"/>
    <w:rsid w:val="00630262"/>
    <w:rsid w:val="00630277"/>
    <w:rsid w:val="006306A4"/>
    <w:rsid w:val="00630DEF"/>
    <w:rsid w:val="0063100C"/>
    <w:rsid w:val="006321AE"/>
    <w:rsid w:val="00632CF2"/>
    <w:rsid w:val="00633213"/>
    <w:rsid w:val="006335CC"/>
    <w:rsid w:val="0063421D"/>
    <w:rsid w:val="00635EDC"/>
    <w:rsid w:val="00636369"/>
    <w:rsid w:val="0064031E"/>
    <w:rsid w:val="00641B89"/>
    <w:rsid w:val="00642333"/>
    <w:rsid w:val="0064270F"/>
    <w:rsid w:val="006428DC"/>
    <w:rsid w:val="00643C7A"/>
    <w:rsid w:val="006445C3"/>
    <w:rsid w:val="00644BC5"/>
    <w:rsid w:val="0064541B"/>
    <w:rsid w:val="0064796E"/>
    <w:rsid w:val="00651C77"/>
    <w:rsid w:val="00652E75"/>
    <w:rsid w:val="006543A8"/>
    <w:rsid w:val="00654B4A"/>
    <w:rsid w:val="00656087"/>
    <w:rsid w:val="0066003A"/>
    <w:rsid w:val="006608BC"/>
    <w:rsid w:val="00660A8C"/>
    <w:rsid w:val="00661ED1"/>
    <w:rsid w:val="00663181"/>
    <w:rsid w:val="00663C88"/>
    <w:rsid w:val="006643B3"/>
    <w:rsid w:val="00665CFF"/>
    <w:rsid w:val="00665DC8"/>
    <w:rsid w:val="00665E35"/>
    <w:rsid w:val="00665E59"/>
    <w:rsid w:val="006663C3"/>
    <w:rsid w:val="006674DF"/>
    <w:rsid w:val="00667ADC"/>
    <w:rsid w:val="00670E1B"/>
    <w:rsid w:val="00670EF4"/>
    <w:rsid w:val="006722AD"/>
    <w:rsid w:val="00673702"/>
    <w:rsid w:val="00675895"/>
    <w:rsid w:val="00675E84"/>
    <w:rsid w:val="00682E7E"/>
    <w:rsid w:val="00682EB8"/>
    <w:rsid w:val="00684468"/>
    <w:rsid w:val="00685034"/>
    <w:rsid w:val="006856FA"/>
    <w:rsid w:val="006860CF"/>
    <w:rsid w:val="00686470"/>
    <w:rsid w:val="006865BD"/>
    <w:rsid w:val="006868BA"/>
    <w:rsid w:val="00686B11"/>
    <w:rsid w:val="006901E3"/>
    <w:rsid w:val="00691E66"/>
    <w:rsid w:val="00692128"/>
    <w:rsid w:val="006929CD"/>
    <w:rsid w:val="00693FF7"/>
    <w:rsid w:val="006946E8"/>
    <w:rsid w:val="00697953"/>
    <w:rsid w:val="006A2982"/>
    <w:rsid w:val="006A2E1B"/>
    <w:rsid w:val="006A3BD7"/>
    <w:rsid w:val="006A3E83"/>
    <w:rsid w:val="006A44A2"/>
    <w:rsid w:val="006A4C9A"/>
    <w:rsid w:val="006A5978"/>
    <w:rsid w:val="006A5C8D"/>
    <w:rsid w:val="006A6B57"/>
    <w:rsid w:val="006A75CE"/>
    <w:rsid w:val="006A7F2F"/>
    <w:rsid w:val="006B19CD"/>
    <w:rsid w:val="006B19E4"/>
    <w:rsid w:val="006B3D9E"/>
    <w:rsid w:val="006B40EB"/>
    <w:rsid w:val="006B540C"/>
    <w:rsid w:val="006B633B"/>
    <w:rsid w:val="006B6839"/>
    <w:rsid w:val="006C2A9D"/>
    <w:rsid w:val="006C4FDE"/>
    <w:rsid w:val="006C5092"/>
    <w:rsid w:val="006C52DE"/>
    <w:rsid w:val="006C6C2B"/>
    <w:rsid w:val="006D2AE7"/>
    <w:rsid w:val="006D2EC9"/>
    <w:rsid w:val="006D3577"/>
    <w:rsid w:val="006D3BAC"/>
    <w:rsid w:val="006D47A5"/>
    <w:rsid w:val="006D6FE8"/>
    <w:rsid w:val="006E0884"/>
    <w:rsid w:val="006E0DF8"/>
    <w:rsid w:val="006E1020"/>
    <w:rsid w:val="006E27B2"/>
    <w:rsid w:val="006E4262"/>
    <w:rsid w:val="006E56A6"/>
    <w:rsid w:val="006E77E3"/>
    <w:rsid w:val="006F0892"/>
    <w:rsid w:val="006F0926"/>
    <w:rsid w:val="006F1118"/>
    <w:rsid w:val="006F1E11"/>
    <w:rsid w:val="006F2C01"/>
    <w:rsid w:val="006F6969"/>
    <w:rsid w:val="006F6D75"/>
    <w:rsid w:val="0070012E"/>
    <w:rsid w:val="00701B1C"/>
    <w:rsid w:val="007024AE"/>
    <w:rsid w:val="00703614"/>
    <w:rsid w:val="0070361C"/>
    <w:rsid w:val="00703704"/>
    <w:rsid w:val="00704BB7"/>
    <w:rsid w:val="007050A0"/>
    <w:rsid w:val="00705D9B"/>
    <w:rsid w:val="007070EF"/>
    <w:rsid w:val="00707365"/>
    <w:rsid w:val="00707CE6"/>
    <w:rsid w:val="007104C0"/>
    <w:rsid w:val="00710671"/>
    <w:rsid w:val="00710C14"/>
    <w:rsid w:val="00711565"/>
    <w:rsid w:val="00711907"/>
    <w:rsid w:val="00713D56"/>
    <w:rsid w:val="00713F34"/>
    <w:rsid w:val="007140FD"/>
    <w:rsid w:val="00715AC6"/>
    <w:rsid w:val="00715F2C"/>
    <w:rsid w:val="0071621F"/>
    <w:rsid w:val="00717194"/>
    <w:rsid w:val="0072079D"/>
    <w:rsid w:val="00720EF1"/>
    <w:rsid w:val="00721137"/>
    <w:rsid w:val="007232B1"/>
    <w:rsid w:val="007234BF"/>
    <w:rsid w:val="007250DE"/>
    <w:rsid w:val="00726A66"/>
    <w:rsid w:val="007277CF"/>
    <w:rsid w:val="0073014C"/>
    <w:rsid w:val="00730891"/>
    <w:rsid w:val="00730D46"/>
    <w:rsid w:val="00730E5A"/>
    <w:rsid w:val="007342B6"/>
    <w:rsid w:val="0073455A"/>
    <w:rsid w:val="00734775"/>
    <w:rsid w:val="00734898"/>
    <w:rsid w:val="00736D61"/>
    <w:rsid w:val="00737A1B"/>
    <w:rsid w:val="00740757"/>
    <w:rsid w:val="00740913"/>
    <w:rsid w:val="007410FF"/>
    <w:rsid w:val="007419A3"/>
    <w:rsid w:val="00741A72"/>
    <w:rsid w:val="007421EA"/>
    <w:rsid w:val="00743350"/>
    <w:rsid w:val="00743380"/>
    <w:rsid w:val="007438ED"/>
    <w:rsid w:val="007475F2"/>
    <w:rsid w:val="00750865"/>
    <w:rsid w:val="00752671"/>
    <w:rsid w:val="00753228"/>
    <w:rsid w:val="00753929"/>
    <w:rsid w:val="00754389"/>
    <w:rsid w:val="00754FDB"/>
    <w:rsid w:val="007609FE"/>
    <w:rsid w:val="00760A9B"/>
    <w:rsid w:val="007610C3"/>
    <w:rsid w:val="007611F2"/>
    <w:rsid w:val="0076167E"/>
    <w:rsid w:val="00762580"/>
    <w:rsid w:val="00762BEF"/>
    <w:rsid w:val="00762F7A"/>
    <w:rsid w:val="007631B6"/>
    <w:rsid w:val="00764B0B"/>
    <w:rsid w:val="00765151"/>
    <w:rsid w:val="007659CA"/>
    <w:rsid w:val="00770C04"/>
    <w:rsid w:val="00771C31"/>
    <w:rsid w:val="00774A87"/>
    <w:rsid w:val="00775602"/>
    <w:rsid w:val="00776466"/>
    <w:rsid w:val="007776C7"/>
    <w:rsid w:val="00781421"/>
    <w:rsid w:val="00782D9B"/>
    <w:rsid w:val="00782EAA"/>
    <w:rsid w:val="00782F70"/>
    <w:rsid w:val="0078324E"/>
    <w:rsid w:val="00786029"/>
    <w:rsid w:val="0078704F"/>
    <w:rsid w:val="00787094"/>
    <w:rsid w:val="007911EC"/>
    <w:rsid w:val="007914B1"/>
    <w:rsid w:val="00796A77"/>
    <w:rsid w:val="00796BA8"/>
    <w:rsid w:val="00797436"/>
    <w:rsid w:val="00797672"/>
    <w:rsid w:val="007A0AA5"/>
    <w:rsid w:val="007A2C79"/>
    <w:rsid w:val="007A2E10"/>
    <w:rsid w:val="007A69F7"/>
    <w:rsid w:val="007A6C4E"/>
    <w:rsid w:val="007A6D8A"/>
    <w:rsid w:val="007A6DD7"/>
    <w:rsid w:val="007A76E4"/>
    <w:rsid w:val="007A7DFF"/>
    <w:rsid w:val="007B2230"/>
    <w:rsid w:val="007B2B44"/>
    <w:rsid w:val="007B2EB0"/>
    <w:rsid w:val="007B36BB"/>
    <w:rsid w:val="007B7A7D"/>
    <w:rsid w:val="007C1770"/>
    <w:rsid w:val="007C1E22"/>
    <w:rsid w:val="007C226E"/>
    <w:rsid w:val="007C3888"/>
    <w:rsid w:val="007C4FB8"/>
    <w:rsid w:val="007C516E"/>
    <w:rsid w:val="007C6105"/>
    <w:rsid w:val="007C6C06"/>
    <w:rsid w:val="007C7921"/>
    <w:rsid w:val="007D0A52"/>
    <w:rsid w:val="007D13AD"/>
    <w:rsid w:val="007D1A3A"/>
    <w:rsid w:val="007D2405"/>
    <w:rsid w:val="007D25EF"/>
    <w:rsid w:val="007D2F04"/>
    <w:rsid w:val="007D3A30"/>
    <w:rsid w:val="007D5091"/>
    <w:rsid w:val="007D6062"/>
    <w:rsid w:val="007D6970"/>
    <w:rsid w:val="007D6B0B"/>
    <w:rsid w:val="007D71C7"/>
    <w:rsid w:val="007D7D13"/>
    <w:rsid w:val="007E087A"/>
    <w:rsid w:val="007E0CDD"/>
    <w:rsid w:val="007E15F7"/>
    <w:rsid w:val="007E400F"/>
    <w:rsid w:val="007E406B"/>
    <w:rsid w:val="007E4D19"/>
    <w:rsid w:val="007E5C5F"/>
    <w:rsid w:val="007E6966"/>
    <w:rsid w:val="007E6A04"/>
    <w:rsid w:val="007F030F"/>
    <w:rsid w:val="007F05C5"/>
    <w:rsid w:val="007F3D6E"/>
    <w:rsid w:val="007F6006"/>
    <w:rsid w:val="007F7A28"/>
    <w:rsid w:val="00800533"/>
    <w:rsid w:val="00800A1D"/>
    <w:rsid w:val="00801C21"/>
    <w:rsid w:val="008031E8"/>
    <w:rsid w:val="00803828"/>
    <w:rsid w:val="00803E22"/>
    <w:rsid w:val="008045AA"/>
    <w:rsid w:val="0080478D"/>
    <w:rsid w:val="008058A8"/>
    <w:rsid w:val="0080790F"/>
    <w:rsid w:val="008101EA"/>
    <w:rsid w:val="008103E8"/>
    <w:rsid w:val="00811EFE"/>
    <w:rsid w:val="0081289B"/>
    <w:rsid w:val="0081396C"/>
    <w:rsid w:val="00813D93"/>
    <w:rsid w:val="008149FA"/>
    <w:rsid w:val="00814F03"/>
    <w:rsid w:val="0081582C"/>
    <w:rsid w:val="00815D29"/>
    <w:rsid w:val="00815F25"/>
    <w:rsid w:val="008162D9"/>
    <w:rsid w:val="008164C1"/>
    <w:rsid w:val="008168A1"/>
    <w:rsid w:val="00816BE8"/>
    <w:rsid w:val="008206BB"/>
    <w:rsid w:val="00820B59"/>
    <w:rsid w:val="008230EE"/>
    <w:rsid w:val="00826AE5"/>
    <w:rsid w:val="00826D1F"/>
    <w:rsid w:val="00826DAF"/>
    <w:rsid w:val="0082715A"/>
    <w:rsid w:val="008317D1"/>
    <w:rsid w:val="0083217D"/>
    <w:rsid w:val="008327EE"/>
    <w:rsid w:val="00836304"/>
    <w:rsid w:val="00836B5A"/>
    <w:rsid w:val="0084193E"/>
    <w:rsid w:val="00841CAD"/>
    <w:rsid w:val="00842743"/>
    <w:rsid w:val="00844820"/>
    <w:rsid w:val="00844A56"/>
    <w:rsid w:val="00846E17"/>
    <w:rsid w:val="0084712B"/>
    <w:rsid w:val="008502FF"/>
    <w:rsid w:val="00850531"/>
    <w:rsid w:val="00850C87"/>
    <w:rsid w:val="00850E9A"/>
    <w:rsid w:val="00853128"/>
    <w:rsid w:val="00855F0F"/>
    <w:rsid w:val="008578CF"/>
    <w:rsid w:val="0086029E"/>
    <w:rsid w:val="0086087B"/>
    <w:rsid w:val="00862082"/>
    <w:rsid w:val="00866584"/>
    <w:rsid w:val="00871F47"/>
    <w:rsid w:val="00872400"/>
    <w:rsid w:val="00873D81"/>
    <w:rsid w:val="008762C9"/>
    <w:rsid w:val="00877B0C"/>
    <w:rsid w:val="00877C22"/>
    <w:rsid w:val="0088009E"/>
    <w:rsid w:val="0088090E"/>
    <w:rsid w:val="00880DFF"/>
    <w:rsid w:val="008814AB"/>
    <w:rsid w:val="00884EEC"/>
    <w:rsid w:val="00885236"/>
    <w:rsid w:val="00890D8A"/>
    <w:rsid w:val="00891208"/>
    <w:rsid w:val="00893702"/>
    <w:rsid w:val="00894AC7"/>
    <w:rsid w:val="00897FCB"/>
    <w:rsid w:val="008A01F2"/>
    <w:rsid w:val="008A0A0E"/>
    <w:rsid w:val="008A10C7"/>
    <w:rsid w:val="008A2CE9"/>
    <w:rsid w:val="008A67FD"/>
    <w:rsid w:val="008A78BC"/>
    <w:rsid w:val="008B06D4"/>
    <w:rsid w:val="008B3FEA"/>
    <w:rsid w:val="008B40DC"/>
    <w:rsid w:val="008B6ABB"/>
    <w:rsid w:val="008B73BC"/>
    <w:rsid w:val="008C009D"/>
    <w:rsid w:val="008C0854"/>
    <w:rsid w:val="008C4763"/>
    <w:rsid w:val="008C4E4E"/>
    <w:rsid w:val="008C526C"/>
    <w:rsid w:val="008C5BEE"/>
    <w:rsid w:val="008C5D06"/>
    <w:rsid w:val="008C6893"/>
    <w:rsid w:val="008C6C56"/>
    <w:rsid w:val="008C77C9"/>
    <w:rsid w:val="008C7E2C"/>
    <w:rsid w:val="008D3201"/>
    <w:rsid w:val="008D33DC"/>
    <w:rsid w:val="008D41E2"/>
    <w:rsid w:val="008D4D65"/>
    <w:rsid w:val="008D5059"/>
    <w:rsid w:val="008D680A"/>
    <w:rsid w:val="008D7011"/>
    <w:rsid w:val="008D70E5"/>
    <w:rsid w:val="008D79DE"/>
    <w:rsid w:val="008E0C18"/>
    <w:rsid w:val="008E191D"/>
    <w:rsid w:val="008E2623"/>
    <w:rsid w:val="008E5A65"/>
    <w:rsid w:val="008E6087"/>
    <w:rsid w:val="008E618C"/>
    <w:rsid w:val="008E7138"/>
    <w:rsid w:val="008E72D5"/>
    <w:rsid w:val="008E7530"/>
    <w:rsid w:val="008F0093"/>
    <w:rsid w:val="008F0157"/>
    <w:rsid w:val="008F1170"/>
    <w:rsid w:val="008F19A1"/>
    <w:rsid w:val="008F33C3"/>
    <w:rsid w:val="008F3747"/>
    <w:rsid w:val="008F42C3"/>
    <w:rsid w:val="008F4506"/>
    <w:rsid w:val="008F51A9"/>
    <w:rsid w:val="008F56FE"/>
    <w:rsid w:val="008F6068"/>
    <w:rsid w:val="008F707F"/>
    <w:rsid w:val="009008DF"/>
    <w:rsid w:val="00901302"/>
    <w:rsid w:val="009016DF"/>
    <w:rsid w:val="0090199E"/>
    <w:rsid w:val="00903F32"/>
    <w:rsid w:val="00904A69"/>
    <w:rsid w:val="00906C23"/>
    <w:rsid w:val="0091220E"/>
    <w:rsid w:val="00912B02"/>
    <w:rsid w:val="00915E89"/>
    <w:rsid w:val="00916C73"/>
    <w:rsid w:val="0092030E"/>
    <w:rsid w:val="00924CD7"/>
    <w:rsid w:val="009254F4"/>
    <w:rsid w:val="00925E88"/>
    <w:rsid w:val="009264CB"/>
    <w:rsid w:val="00930040"/>
    <w:rsid w:val="00931BB3"/>
    <w:rsid w:val="00932F0E"/>
    <w:rsid w:val="00933EE5"/>
    <w:rsid w:val="00935742"/>
    <w:rsid w:val="00936799"/>
    <w:rsid w:val="00936B56"/>
    <w:rsid w:val="00936D38"/>
    <w:rsid w:val="00937ABE"/>
    <w:rsid w:val="00940B3E"/>
    <w:rsid w:val="00940E06"/>
    <w:rsid w:val="009410BD"/>
    <w:rsid w:val="009411DE"/>
    <w:rsid w:val="0094129E"/>
    <w:rsid w:val="00942F71"/>
    <w:rsid w:val="00944A49"/>
    <w:rsid w:val="00944D7D"/>
    <w:rsid w:val="00945D46"/>
    <w:rsid w:val="00946871"/>
    <w:rsid w:val="00947456"/>
    <w:rsid w:val="00947545"/>
    <w:rsid w:val="00947ACA"/>
    <w:rsid w:val="00947BD8"/>
    <w:rsid w:val="00950EC9"/>
    <w:rsid w:val="00951570"/>
    <w:rsid w:val="00952420"/>
    <w:rsid w:val="009552DC"/>
    <w:rsid w:val="00955B4D"/>
    <w:rsid w:val="00960C8E"/>
    <w:rsid w:val="009630D4"/>
    <w:rsid w:val="0096503C"/>
    <w:rsid w:val="00965719"/>
    <w:rsid w:val="009664DF"/>
    <w:rsid w:val="0096673C"/>
    <w:rsid w:val="00967571"/>
    <w:rsid w:val="009675F8"/>
    <w:rsid w:val="00967625"/>
    <w:rsid w:val="00973908"/>
    <w:rsid w:val="00974AF2"/>
    <w:rsid w:val="00975CC0"/>
    <w:rsid w:val="00975DDC"/>
    <w:rsid w:val="00975FBB"/>
    <w:rsid w:val="00977172"/>
    <w:rsid w:val="0097763D"/>
    <w:rsid w:val="00977793"/>
    <w:rsid w:val="00977FD6"/>
    <w:rsid w:val="00982727"/>
    <w:rsid w:val="0098300F"/>
    <w:rsid w:val="009919ED"/>
    <w:rsid w:val="009934F8"/>
    <w:rsid w:val="0099411E"/>
    <w:rsid w:val="00994462"/>
    <w:rsid w:val="00994B3D"/>
    <w:rsid w:val="00994C22"/>
    <w:rsid w:val="00994F69"/>
    <w:rsid w:val="00995174"/>
    <w:rsid w:val="0099553A"/>
    <w:rsid w:val="0099697E"/>
    <w:rsid w:val="00997378"/>
    <w:rsid w:val="009A0116"/>
    <w:rsid w:val="009A04DE"/>
    <w:rsid w:val="009A0A90"/>
    <w:rsid w:val="009A16DE"/>
    <w:rsid w:val="009A21D2"/>
    <w:rsid w:val="009A26DE"/>
    <w:rsid w:val="009A282E"/>
    <w:rsid w:val="009A3B65"/>
    <w:rsid w:val="009A4224"/>
    <w:rsid w:val="009A46DD"/>
    <w:rsid w:val="009A4C0B"/>
    <w:rsid w:val="009A6972"/>
    <w:rsid w:val="009A6CF1"/>
    <w:rsid w:val="009A7CB4"/>
    <w:rsid w:val="009A7EF6"/>
    <w:rsid w:val="009B1BD8"/>
    <w:rsid w:val="009B3FC7"/>
    <w:rsid w:val="009B407C"/>
    <w:rsid w:val="009B6263"/>
    <w:rsid w:val="009B6EE8"/>
    <w:rsid w:val="009C0069"/>
    <w:rsid w:val="009C0726"/>
    <w:rsid w:val="009C0A08"/>
    <w:rsid w:val="009C1FEC"/>
    <w:rsid w:val="009C2A16"/>
    <w:rsid w:val="009C38E3"/>
    <w:rsid w:val="009C424A"/>
    <w:rsid w:val="009C50AA"/>
    <w:rsid w:val="009C7472"/>
    <w:rsid w:val="009D1331"/>
    <w:rsid w:val="009D3D21"/>
    <w:rsid w:val="009D3D5E"/>
    <w:rsid w:val="009D3F4F"/>
    <w:rsid w:val="009D43CD"/>
    <w:rsid w:val="009D5135"/>
    <w:rsid w:val="009D7B23"/>
    <w:rsid w:val="009D7C23"/>
    <w:rsid w:val="009D7DE5"/>
    <w:rsid w:val="009E144C"/>
    <w:rsid w:val="009E2457"/>
    <w:rsid w:val="009E27F2"/>
    <w:rsid w:val="009E6764"/>
    <w:rsid w:val="009E68DE"/>
    <w:rsid w:val="009E76B0"/>
    <w:rsid w:val="009F06ED"/>
    <w:rsid w:val="009F07F5"/>
    <w:rsid w:val="009F3EFA"/>
    <w:rsid w:val="009F52D9"/>
    <w:rsid w:val="009F625A"/>
    <w:rsid w:val="009F6719"/>
    <w:rsid w:val="009F6AF8"/>
    <w:rsid w:val="009F79CF"/>
    <w:rsid w:val="009F7D44"/>
    <w:rsid w:val="009F7F91"/>
    <w:rsid w:val="009F7FA6"/>
    <w:rsid w:val="00A002B5"/>
    <w:rsid w:val="00A047DA"/>
    <w:rsid w:val="00A055CC"/>
    <w:rsid w:val="00A05EE3"/>
    <w:rsid w:val="00A06376"/>
    <w:rsid w:val="00A070DF"/>
    <w:rsid w:val="00A07831"/>
    <w:rsid w:val="00A10207"/>
    <w:rsid w:val="00A136C2"/>
    <w:rsid w:val="00A13EF4"/>
    <w:rsid w:val="00A1473A"/>
    <w:rsid w:val="00A14B87"/>
    <w:rsid w:val="00A14BB7"/>
    <w:rsid w:val="00A16A35"/>
    <w:rsid w:val="00A16F1B"/>
    <w:rsid w:val="00A20B7B"/>
    <w:rsid w:val="00A21012"/>
    <w:rsid w:val="00A21DF2"/>
    <w:rsid w:val="00A22094"/>
    <w:rsid w:val="00A22BFF"/>
    <w:rsid w:val="00A23553"/>
    <w:rsid w:val="00A24328"/>
    <w:rsid w:val="00A243B8"/>
    <w:rsid w:val="00A253A2"/>
    <w:rsid w:val="00A2752F"/>
    <w:rsid w:val="00A27EE7"/>
    <w:rsid w:val="00A31426"/>
    <w:rsid w:val="00A32302"/>
    <w:rsid w:val="00A33302"/>
    <w:rsid w:val="00A334DB"/>
    <w:rsid w:val="00A3383A"/>
    <w:rsid w:val="00A345B9"/>
    <w:rsid w:val="00A34D47"/>
    <w:rsid w:val="00A35222"/>
    <w:rsid w:val="00A3656A"/>
    <w:rsid w:val="00A36AB6"/>
    <w:rsid w:val="00A37633"/>
    <w:rsid w:val="00A41CFF"/>
    <w:rsid w:val="00A42223"/>
    <w:rsid w:val="00A42A14"/>
    <w:rsid w:val="00A4336E"/>
    <w:rsid w:val="00A446CC"/>
    <w:rsid w:val="00A45180"/>
    <w:rsid w:val="00A45D2A"/>
    <w:rsid w:val="00A464E9"/>
    <w:rsid w:val="00A5055B"/>
    <w:rsid w:val="00A50776"/>
    <w:rsid w:val="00A50E6F"/>
    <w:rsid w:val="00A51202"/>
    <w:rsid w:val="00A517EA"/>
    <w:rsid w:val="00A536A4"/>
    <w:rsid w:val="00A54E97"/>
    <w:rsid w:val="00A55BC6"/>
    <w:rsid w:val="00A56429"/>
    <w:rsid w:val="00A572F4"/>
    <w:rsid w:val="00A5776F"/>
    <w:rsid w:val="00A60ACC"/>
    <w:rsid w:val="00A6109C"/>
    <w:rsid w:val="00A615FD"/>
    <w:rsid w:val="00A62507"/>
    <w:rsid w:val="00A629EB"/>
    <w:rsid w:val="00A62D39"/>
    <w:rsid w:val="00A62DAE"/>
    <w:rsid w:val="00A67878"/>
    <w:rsid w:val="00A67EFF"/>
    <w:rsid w:val="00A707A8"/>
    <w:rsid w:val="00A70890"/>
    <w:rsid w:val="00A72E29"/>
    <w:rsid w:val="00A73010"/>
    <w:rsid w:val="00A73625"/>
    <w:rsid w:val="00A75785"/>
    <w:rsid w:val="00A762FF"/>
    <w:rsid w:val="00A77958"/>
    <w:rsid w:val="00A779B4"/>
    <w:rsid w:val="00A77A6D"/>
    <w:rsid w:val="00A806E1"/>
    <w:rsid w:val="00A81130"/>
    <w:rsid w:val="00A8185A"/>
    <w:rsid w:val="00A81EC0"/>
    <w:rsid w:val="00A837E5"/>
    <w:rsid w:val="00A84E7A"/>
    <w:rsid w:val="00A84FF5"/>
    <w:rsid w:val="00A852E7"/>
    <w:rsid w:val="00A863F3"/>
    <w:rsid w:val="00A87329"/>
    <w:rsid w:val="00A90984"/>
    <w:rsid w:val="00A91022"/>
    <w:rsid w:val="00A91D06"/>
    <w:rsid w:val="00A92778"/>
    <w:rsid w:val="00A9378C"/>
    <w:rsid w:val="00A94AFE"/>
    <w:rsid w:val="00A94FD9"/>
    <w:rsid w:val="00A954BE"/>
    <w:rsid w:val="00A960DE"/>
    <w:rsid w:val="00A97E2D"/>
    <w:rsid w:val="00AA0A68"/>
    <w:rsid w:val="00AA4529"/>
    <w:rsid w:val="00AA479A"/>
    <w:rsid w:val="00AA6013"/>
    <w:rsid w:val="00AA784D"/>
    <w:rsid w:val="00AB03B0"/>
    <w:rsid w:val="00AB4247"/>
    <w:rsid w:val="00AB601E"/>
    <w:rsid w:val="00AB6566"/>
    <w:rsid w:val="00AB716E"/>
    <w:rsid w:val="00AB7AAA"/>
    <w:rsid w:val="00AC0B9C"/>
    <w:rsid w:val="00AC12B6"/>
    <w:rsid w:val="00AC2C97"/>
    <w:rsid w:val="00AC30A4"/>
    <w:rsid w:val="00AC3B1D"/>
    <w:rsid w:val="00AC64F1"/>
    <w:rsid w:val="00AC7841"/>
    <w:rsid w:val="00AD1D3F"/>
    <w:rsid w:val="00AD2342"/>
    <w:rsid w:val="00AD27AA"/>
    <w:rsid w:val="00AD3B24"/>
    <w:rsid w:val="00AD51D7"/>
    <w:rsid w:val="00AD57B5"/>
    <w:rsid w:val="00AE2519"/>
    <w:rsid w:val="00AE3167"/>
    <w:rsid w:val="00AE377D"/>
    <w:rsid w:val="00AE39BE"/>
    <w:rsid w:val="00AE3AB0"/>
    <w:rsid w:val="00AE42FF"/>
    <w:rsid w:val="00AE48A6"/>
    <w:rsid w:val="00AF07DB"/>
    <w:rsid w:val="00AF09C3"/>
    <w:rsid w:val="00AF11BC"/>
    <w:rsid w:val="00AF3310"/>
    <w:rsid w:val="00AF4962"/>
    <w:rsid w:val="00AF50A5"/>
    <w:rsid w:val="00AF59F4"/>
    <w:rsid w:val="00AF6BEA"/>
    <w:rsid w:val="00AF7CDA"/>
    <w:rsid w:val="00B01431"/>
    <w:rsid w:val="00B02CC0"/>
    <w:rsid w:val="00B02D9C"/>
    <w:rsid w:val="00B03320"/>
    <w:rsid w:val="00B03BC2"/>
    <w:rsid w:val="00B04042"/>
    <w:rsid w:val="00B055A5"/>
    <w:rsid w:val="00B05F6A"/>
    <w:rsid w:val="00B06737"/>
    <w:rsid w:val="00B06E4E"/>
    <w:rsid w:val="00B10A23"/>
    <w:rsid w:val="00B10DDA"/>
    <w:rsid w:val="00B114F1"/>
    <w:rsid w:val="00B119F3"/>
    <w:rsid w:val="00B125D6"/>
    <w:rsid w:val="00B128E3"/>
    <w:rsid w:val="00B12DBA"/>
    <w:rsid w:val="00B1309A"/>
    <w:rsid w:val="00B13D12"/>
    <w:rsid w:val="00B14CCD"/>
    <w:rsid w:val="00B16740"/>
    <w:rsid w:val="00B1748D"/>
    <w:rsid w:val="00B17DE3"/>
    <w:rsid w:val="00B20298"/>
    <w:rsid w:val="00B22873"/>
    <w:rsid w:val="00B228ED"/>
    <w:rsid w:val="00B23505"/>
    <w:rsid w:val="00B236D6"/>
    <w:rsid w:val="00B23742"/>
    <w:rsid w:val="00B23CA7"/>
    <w:rsid w:val="00B2407E"/>
    <w:rsid w:val="00B25076"/>
    <w:rsid w:val="00B26894"/>
    <w:rsid w:val="00B2785C"/>
    <w:rsid w:val="00B27D0B"/>
    <w:rsid w:val="00B30CF4"/>
    <w:rsid w:val="00B31091"/>
    <w:rsid w:val="00B317DB"/>
    <w:rsid w:val="00B349BB"/>
    <w:rsid w:val="00B36432"/>
    <w:rsid w:val="00B36912"/>
    <w:rsid w:val="00B37501"/>
    <w:rsid w:val="00B42797"/>
    <w:rsid w:val="00B42E88"/>
    <w:rsid w:val="00B43391"/>
    <w:rsid w:val="00B43B1E"/>
    <w:rsid w:val="00B51E6A"/>
    <w:rsid w:val="00B52F48"/>
    <w:rsid w:val="00B53B2E"/>
    <w:rsid w:val="00B53F7A"/>
    <w:rsid w:val="00B56CD5"/>
    <w:rsid w:val="00B570A0"/>
    <w:rsid w:val="00B60675"/>
    <w:rsid w:val="00B60E77"/>
    <w:rsid w:val="00B621DB"/>
    <w:rsid w:val="00B623FE"/>
    <w:rsid w:val="00B62736"/>
    <w:rsid w:val="00B63DBA"/>
    <w:rsid w:val="00B6469C"/>
    <w:rsid w:val="00B67881"/>
    <w:rsid w:val="00B678B9"/>
    <w:rsid w:val="00B67F21"/>
    <w:rsid w:val="00B705F3"/>
    <w:rsid w:val="00B70F13"/>
    <w:rsid w:val="00B71D40"/>
    <w:rsid w:val="00B72D0A"/>
    <w:rsid w:val="00B731DB"/>
    <w:rsid w:val="00B752D9"/>
    <w:rsid w:val="00B76BB6"/>
    <w:rsid w:val="00B776B5"/>
    <w:rsid w:val="00B813CC"/>
    <w:rsid w:val="00B84C6F"/>
    <w:rsid w:val="00B86976"/>
    <w:rsid w:val="00B87DEF"/>
    <w:rsid w:val="00B87E9A"/>
    <w:rsid w:val="00B87F55"/>
    <w:rsid w:val="00B9067D"/>
    <w:rsid w:val="00B92734"/>
    <w:rsid w:val="00B92AC3"/>
    <w:rsid w:val="00B92D92"/>
    <w:rsid w:val="00B95AE5"/>
    <w:rsid w:val="00B967E4"/>
    <w:rsid w:val="00B97F1B"/>
    <w:rsid w:val="00BA0163"/>
    <w:rsid w:val="00BA034C"/>
    <w:rsid w:val="00BA10A2"/>
    <w:rsid w:val="00BA42BB"/>
    <w:rsid w:val="00BA4C20"/>
    <w:rsid w:val="00BA5E3E"/>
    <w:rsid w:val="00BA661A"/>
    <w:rsid w:val="00BA6C08"/>
    <w:rsid w:val="00BA7039"/>
    <w:rsid w:val="00BA74C3"/>
    <w:rsid w:val="00BB1615"/>
    <w:rsid w:val="00BB1A4E"/>
    <w:rsid w:val="00BB2CFE"/>
    <w:rsid w:val="00BB2DC3"/>
    <w:rsid w:val="00BB34AD"/>
    <w:rsid w:val="00BB36D4"/>
    <w:rsid w:val="00BB3CB7"/>
    <w:rsid w:val="00BB5B95"/>
    <w:rsid w:val="00BB5D1C"/>
    <w:rsid w:val="00BB6DAC"/>
    <w:rsid w:val="00BB7F33"/>
    <w:rsid w:val="00BC054D"/>
    <w:rsid w:val="00BC2326"/>
    <w:rsid w:val="00BC2CDB"/>
    <w:rsid w:val="00BC35F5"/>
    <w:rsid w:val="00BC3B34"/>
    <w:rsid w:val="00BC5986"/>
    <w:rsid w:val="00BC63E3"/>
    <w:rsid w:val="00BC6B5E"/>
    <w:rsid w:val="00BC6CF1"/>
    <w:rsid w:val="00BD0E96"/>
    <w:rsid w:val="00BD2684"/>
    <w:rsid w:val="00BD28BC"/>
    <w:rsid w:val="00BD395A"/>
    <w:rsid w:val="00BD4A2F"/>
    <w:rsid w:val="00BD5A2C"/>
    <w:rsid w:val="00BD5E83"/>
    <w:rsid w:val="00BD661D"/>
    <w:rsid w:val="00BD6B8E"/>
    <w:rsid w:val="00BD71D4"/>
    <w:rsid w:val="00BD7AD4"/>
    <w:rsid w:val="00BE03C4"/>
    <w:rsid w:val="00BE08D4"/>
    <w:rsid w:val="00BE11B4"/>
    <w:rsid w:val="00BE1E78"/>
    <w:rsid w:val="00BE2E83"/>
    <w:rsid w:val="00BE38C2"/>
    <w:rsid w:val="00BE4B12"/>
    <w:rsid w:val="00BE7024"/>
    <w:rsid w:val="00BE717B"/>
    <w:rsid w:val="00BE7242"/>
    <w:rsid w:val="00BF0704"/>
    <w:rsid w:val="00BF1A8D"/>
    <w:rsid w:val="00BF1AF2"/>
    <w:rsid w:val="00BF1C90"/>
    <w:rsid w:val="00BF1D21"/>
    <w:rsid w:val="00BF2340"/>
    <w:rsid w:val="00BF32D6"/>
    <w:rsid w:val="00BF4EAA"/>
    <w:rsid w:val="00BF75BC"/>
    <w:rsid w:val="00BF79DE"/>
    <w:rsid w:val="00C0169B"/>
    <w:rsid w:val="00C01975"/>
    <w:rsid w:val="00C0299F"/>
    <w:rsid w:val="00C04112"/>
    <w:rsid w:val="00C056FA"/>
    <w:rsid w:val="00C06F46"/>
    <w:rsid w:val="00C10617"/>
    <w:rsid w:val="00C1077F"/>
    <w:rsid w:val="00C11EC8"/>
    <w:rsid w:val="00C135B2"/>
    <w:rsid w:val="00C1572E"/>
    <w:rsid w:val="00C15BE9"/>
    <w:rsid w:val="00C162A8"/>
    <w:rsid w:val="00C162F8"/>
    <w:rsid w:val="00C16621"/>
    <w:rsid w:val="00C1664B"/>
    <w:rsid w:val="00C16A1E"/>
    <w:rsid w:val="00C20AF3"/>
    <w:rsid w:val="00C25664"/>
    <w:rsid w:val="00C26667"/>
    <w:rsid w:val="00C270AC"/>
    <w:rsid w:val="00C3080A"/>
    <w:rsid w:val="00C31391"/>
    <w:rsid w:val="00C33CE7"/>
    <w:rsid w:val="00C33DDC"/>
    <w:rsid w:val="00C34A76"/>
    <w:rsid w:val="00C35662"/>
    <w:rsid w:val="00C35B03"/>
    <w:rsid w:val="00C35F36"/>
    <w:rsid w:val="00C41199"/>
    <w:rsid w:val="00C45ABC"/>
    <w:rsid w:val="00C45DD9"/>
    <w:rsid w:val="00C4652D"/>
    <w:rsid w:val="00C505A2"/>
    <w:rsid w:val="00C51451"/>
    <w:rsid w:val="00C52749"/>
    <w:rsid w:val="00C52E18"/>
    <w:rsid w:val="00C52E56"/>
    <w:rsid w:val="00C56535"/>
    <w:rsid w:val="00C565AC"/>
    <w:rsid w:val="00C61A65"/>
    <w:rsid w:val="00C620AC"/>
    <w:rsid w:val="00C6234F"/>
    <w:rsid w:val="00C62609"/>
    <w:rsid w:val="00C62C2A"/>
    <w:rsid w:val="00C6346A"/>
    <w:rsid w:val="00C652F7"/>
    <w:rsid w:val="00C66966"/>
    <w:rsid w:val="00C677AE"/>
    <w:rsid w:val="00C71720"/>
    <w:rsid w:val="00C721F3"/>
    <w:rsid w:val="00C7402B"/>
    <w:rsid w:val="00C74F20"/>
    <w:rsid w:val="00C7605E"/>
    <w:rsid w:val="00C77D61"/>
    <w:rsid w:val="00C80E1E"/>
    <w:rsid w:val="00C82540"/>
    <w:rsid w:val="00C82774"/>
    <w:rsid w:val="00C834AA"/>
    <w:rsid w:val="00C848E9"/>
    <w:rsid w:val="00C85486"/>
    <w:rsid w:val="00C85653"/>
    <w:rsid w:val="00C857CB"/>
    <w:rsid w:val="00C8655D"/>
    <w:rsid w:val="00C906BF"/>
    <w:rsid w:val="00C90B1D"/>
    <w:rsid w:val="00C91C35"/>
    <w:rsid w:val="00C93035"/>
    <w:rsid w:val="00C96ABF"/>
    <w:rsid w:val="00C9720D"/>
    <w:rsid w:val="00C97245"/>
    <w:rsid w:val="00CA0B84"/>
    <w:rsid w:val="00CA338C"/>
    <w:rsid w:val="00CA39CB"/>
    <w:rsid w:val="00CA3C38"/>
    <w:rsid w:val="00CA4C00"/>
    <w:rsid w:val="00CA4D14"/>
    <w:rsid w:val="00CA5164"/>
    <w:rsid w:val="00CA5F00"/>
    <w:rsid w:val="00CA61F0"/>
    <w:rsid w:val="00CA6DDB"/>
    <w:rsid w:val="00CB11D4"/>
    <w:rsid w:val="00CB1D49"/>
    <w:rsid w:val="00CB5609"/>
    <w:rsid w:val="00CB6101"/>
    <w:rsid w:val="00CB780E"/>
    <w:rsid w:val="00CC075E"/>
    <w:rsid w:val="00CC0C62"/>
    <w:rsid w:val="00CC15E5"/>
    <w:rsid w:val="00CC1C35"/>
    <w:rsid w:val="00CC44EF"/>
    <w:rsid w:val="00CC4630"/>
    <w:rsid w:val="00CC467B"/>
    <w:rsid w:val="00CC7006"/>
    <w:rsid w:val="00CC7016"/>
    <w:rsid w:val="00CC77DF"/>
    <w:rsid w:val="00CD2EDF"/>
    <w:rsid w:val="00CD3315"/>
    <w:rsid w:val="00CD46F3"/>
    <w:rsid w:val="00CD48FF"/>
    <w:rsid w:val="00CD639C"/>
    <w:rsid w:val="00CD7576"/>
    <w:rsid w:val="00CE0FDB"/>
    <w:rsid w:val="00CE1C98"/>
    <w:rsid w:val="00CE5082"/>
    <w:rsid w:val="00CE5810"/>
    <w:rsid w:val="00CE5C92"/>
    <w:rsid w:val="00CE72A4"/>
    <w:rsid w:val="00CE7406"/>
    <w:rsid w:val="00CE794E"/>
    <w:rsid w:val="00CF057B"/>
    <w:rsid w:val="00CF0C49"/>
    <w:rsid w:val="00CF1775"/>
    <w:rsid w:val="00CF33F4"/>
    <w:rsid w:val="00CF3E68"/>
    <w:rsid w:val="00CF50FA"/>
    <w:rsid w:val="00CF5FC0"/>
    <w:rsid w:val="00CF63C5"/>
    <w:rsid w:val="00CF79AB"/>
    <w:rsid w:val="00D01071"/>
    <w:rsid w:val="00D01D2D"/>
    <w:rsid w:val="00D02FC1"/>
    <w:rsid w:val="00D03281"/>
    <w:rsid w:val="00D03CC0"/>
    <w:rsid w:val="00D052C1"/>
    <w:rsid w:val="00D05874"/>
    <w:rsid w:val="00D05B9A"/>
    <w:rsid w:val="00D05D88"/>
    <w:rsid w:val="00D104C2"/>
    <w:rsid w:val="00D10574"/>
    <w:rsid w:val="00D10DDF"/>
    <w:rsid w:val="00D11244"/>
    <w:rsid w:val="00D11772"/>
    <w:rsid w:val="00D11AE5"/>
    <w:rsid w:val="00D11D95"/>
    <w:rsid w:val="00D127CF"/>
    <w:rsid w:val="00D14562"/>
    <w:rsid w:val="00D16389"/>
    <w:rsid w:val="00D16752"/>
    <w:rsid w:val="00D16F30"/>
    <w:rsid w:val="00D213FA"/>
    <w:rsid w:val="00D2236C"/>
    <w:rsid w:val="00D23703"/>
    <w:rsid w:val="00D237D4"/>
    <w:rsid w:val="00D24B8E"/>
    <w:rsid w:val="00D24DB8"/>
    <w:rsid w:val="00D25A4C"/>
    <w:rsid w:val="00D26947"/>
    <w:rsid w:val="00D26F68"/>
    <w:rsid w:val="00D2747C"/>
    <w:rsid w:val="00D3269B"/>
    <w:rsid w:val="00D35A88"/>
    <w:rsid w:val="00D35EE7"/>
    <w:rsid w:val="00D373E0"/>
    <w:rsid w:val="00D40078"/>
    <w:rsid w:val="00D40133"/>
    <w:rsid w:val="00D40FAB"/>
    <w:rsid w:val="00D410BA"/>
    <w:rsid w:val="00D419DA"/>
    <w:rsid w:val="00D43783"/>
    <w:rsid w:val="00D44275"/>
    <w:rsid w:val="00D46199"/>
    <w:rsid w:val="00D511AD"/>
    <w:rsid w:val="00D5128C"/>
    <w:rsid w:val="00D52D6F"/>
    <w:rsid w:val="00D53289"/>
    <w:rsid w:val="00D53BCA"/>
    <w:rsid w:val="00D5413D"/>
    <w:rsid w:val="00D54ED9"/>
    <w:rsid w:val="00D553A0"/>
    <w:rsid w:val="00D55ADC"/>
    <w:rsid w:val="00D55E78"/>
    <w:rsid w:val="00D56A13"/>
    <w:rsid w:val="00D56B24"/>
    <w:rsid w:val="00D61B5C"/>
    <w:rsid w:val="00D61F46"/>
    <w:rsid w:val="00D620C5"/>
    <w:rsid w:val="00D63161"/>
    <w:rsid w:val="00D70BAA"/>
    <w:rsid w:val="00D70FC5"/>
    <w:rsid w:val="00D7207A"/>
    <w:rsid w:val="00D721B7"/>
    <w:rsid w:val="00D721BF"/>
    <w:rsid w:val="00D7234D"/>
    <w:rsid w:val="00D72854"/>
    <w:rsid w:val="00D7364C"/>
    <w:rsid w:val="00D756B6"/>
    <w:rsid w:val="00D756F0"/>
    <w:rsid w:val="00D75749"/>
    <w:rsid w:val="00D75BCA"/>
    <w:rsid w:val="00D7783E"/>
    <w:rsid w:val="00D80166"/>
    <w:rsid w:val="00D80A6A"/>
    <w:rsid w:val="00D81151"/>
    <w:rsid w:val="00D81E03"/>
    <w:rsid w:val="00D82A1B"/>
    <w:rsid w:val="00D84549"/>
    <w:rsid w:val="00D878A0"/>
    <w:rsid w:val="00D9196B"/>
    <w:rsid w:val="00D91AE0"/>
    <w:rsid w:val="00D923D5"/>
    <w:rsid w:val="00D928DE"/>
    <w:rsid w:val="00D932F3"/>
    <w:rsid w:val="00D941AB"/>
    <w:rsid w:val="00D9459D"/>
    <w:rsid w:val="00D961A4"/>
    <w:rsid w:val="00D974B7"/>
    <w:rsid w:val="00DA05C1"/>
    <w:rsid w:val="00DA0B32"/>
    <w:rsid w:val="00DA200B"/>
    <w:rsid w:val="00DA3AAA"/>
    <w:rsid w:val="00DA4056"/>
    <w:rsid w:val="00DA5019"/>
    <w:rsid w:val="00DA50A7"/>
    <w:rsid w:val="00DA7B48"/>
    <w:rsid w:val="00DB01B5"/>
    <w:rsid w:val="00DB0BA5"/>
    <w:rsid w:val="00DB1A72"/>
    <w:rsid w:val="00DB338E"/>
    <w:rsid w:val="00DB4006"/>
    <w:rsid w:val="00DB4778"/>
    <w:rsid w:val="00DB489B"/>
    <w:rsid w:val="00DB4A0B"/>
    <w:rsid w:val="00DB5AF4"/>
    <w:rsid w:val="00DB703A"/>
    <w:rsid w:val="00DC025E"/>
    <w:rsid w:val="00DC40F2"/>
    <w:rsid w:val="00DC4442"/>
    <w:rsid w:val="00DC7973"/>
    <w:rsid w:val="00DD0180"/>
    <w:rsid w:val="00DD0F24"/>
    <w:rsid w:val="00DD18F7"/>
    <w:rsid w:val="00DD309F"/>
    <w:rsid w:val="00DD6646"/>
    <w:rsid w:val="00DD6851"/>
    <w:rsid w:val="00DD7201"/>
    <w:rsid w:val="00DD7680"/>
    <w:rsid w:val="00DE2133"/>
    <w:rsid w:val="00DE2D01"/>
    <w:rsid w:val="00DE3F72"/>
    <w:rsid w:val="00DE460A"/>
    <w:rsid w:val="00DE7AC9"/>
    <w:rsid w:val="00DF11E2"/>
    <w:rsid w:val="00DF150D"/>
    <w:rsid w:val="00DF5C74"/>
    <w:rsid w:val="00E00E72"/>
    <w:rsid w:val="00E01AF9"/>
    <w:rsid w:val="00E02919"/>
    <w:rsid w:val="00E03A7A"/>
    <w:rsid w:val="00E03C22"/>
    <w:rsid w:val="00E04255"/>
    <w:rsid w:val="00E059D8"/>
    <w:rsid w:val="00E05BCA"/>
    <w:rsid w:val="00E0622F"/>
    <w:rsid w:val="00E06F22"/>
    <w:rsid w:val="00E07867"/>
    <w:rsid w:val="00E123D7"/>
    <w:rsid w:val="00E12701"/>
    <w:rsid w:val="00E130FD"/>
    <w:rsid w:val="00E1401B"/>
    <w:rsid w:val="00E14199"/>
    <w:rsid w:val="00E14D7C"/>
    <w:rsid w:val="00E1582E"/>
    <w:rsid w:val="00E15E6C"/>
    <w:rsid w:val="00E20CA3"/>
    <w:rsid w:val="00E229D4"/>
    <w:rsid w:val="00E22BDA"/>
    <w:rsid w:val="00E230C0"/>
    <w:rsid w:val="00E24702"/>
    <w:rsid w:val="00E2598F"/>
    <w:rsid w:val="00E260E2"/>
    <w:rsid w:val="00E26AAD"/>
    <w:rsid w:val="00E27025"/>
    <w:rsid w:val="00E27DCD"/>
    <w:rsid w:val="00E325A7"/>
    <w:rsid w:val="00E32A5E"/>
    <w:rsid w:val="00E32C0A"/>
    <w:rsid w:val="00E330B2"/>
    <w:rsid w:val="00E33F8B"/>
    <w:rsid w:val="00E34C07"/>
    <w:rsid w:val="00E34CCA"/>
    <w:rsid w:val="00E36172"/>
    <w:rsid w:val="00E41DC6"/>
    <w:rsid w:val="00E432B6"/>
    <w:rsid w:val="00E433EB"/>
    <w:rsid w:val="00E4387D"/>
    <w:rsid w:val="00E4412C"/>
    <w:rsid w:val="00E448C0"/>
    <w:rsid w:val="00E457A7"/>
    <w:rsid w:val="00E47040"/>
    <w:rsid w:val="00E502B1"/>
    <w:rsid w:val="00E53CF5"/>
    <w:rsid w:val="00E5511D"/>
    <w:rsid w:val="00E563B1"/>
    <w:rsid w:val="00E56DFC"/>
    <w:rsid w:val="00E57F6B"/>
    <w:rsid w:val="00E60394"/>
    <w:rsid w:val="00E61299"/>
    <w:rsid w:val="00E61884"/>
    <w:rsid w:val="00E6240B"/>
    <w:rsid w:val="00E63326"/>
    <w:rsid w:val="00E64F6D"/>
    <w:rsid w:val="00E652C8"/>
    <w:rsid w:val="00E65988"/>
    <w:rsid w:val="00E66754"/>
    <w:rsid w:val="00E67E78"/>
    <w:rsid w:val="00E70A73"/>
    <w:rsid w:val="00E73FAD"/>
    <w:rsid w:val="00E741D0"/>
    <w:rsid w:val="00E7454C"/>
    <w:rsid w:val="00E74560"/>
    <w:rsid w:val="00E756D5"/>
    <w:rsid w:val="00E75B81"/>
    <w:rsid w:val="00E80F35"/>
    <w:rsid w:val="00E84387"/>
    <w:rsid w:val="00E8601B"/>
    <w:rsid w:val="00E86F93"/>
    <w:rsid w:val="00E8785E"/>
    <w:rsid w:val="00E9033E"/>
    <w:rsid w:val="00E92432"/>
    <w:rsid w:val="00E928AE"/>
    <w:rsid w:val="00E934EE"/>
    <w:rsid w:val="00E94DA2"/>
    <w:rsid w:val="00E95166"/>
    <w:rsid w:val="00E95D30"/>
    <w:rsid w:val="00E95F05"/>
    <w:rsid w:val="00E97F04"/>
    <w:rsid w:val="00EA21F8"/>
    <w:rsid w:val="00EA2742"/>
    <w:rsid w:val="00EA3307"/>
    <w:rsid w:val="00EA3547"/>
    <w:rsid w:val="00EA38EC"/>
    <w:rsid w:val="00EA3AEF"/>
    <w:rsid w:val="00EA4E5D"/>
    <w:rsid w:val="00EA618A"/>
    <w:rsid w:val="00EA6FD7"/>
    <w:rsid w:val="00EA781D"/>
    <w:rsid w:val="00EA78D0"/>
    <w:rsid w:val="00EB024C"/>
    <w:rsid w:val="00EB03F8"/>
    <w:rsid w:val="00EB417F"/>
    <w:rsid w:val="00EB46C6"/>
    <w:rsid w:val="00EB529C"/>
    <w:rsid w:val="00EB5B8D"/>
    <w:rsid w:val="00EB64DE"/>
    <w:rsid w:val="00EB6694"/>
    <w:rsid w:val="00EB6695"/>
    <w:rsid w:val="00EB737E"/>
    <w:rsid w:val="00EC091E"/>
    <w:rsid w:val="00EC1BD6"/>
    <w:rsid w:val="00EC5C48"/>
    <w:rsid w:val="00EC6F64"/>
    <w:rsid w:val="00ED16E8"/>
    <w:rsid w:val="00ED1FC6"/>
    <w:rsid w:val="00ED27DB"/>
    <w:rsid w:val="00ED3098"/>
    <w:rsid w:val="00ED30E7"/>
    <w:rsid w:val="00ED34F9"/>
    <w:rsid w:val="00ED3A37"/>
    <w:rsid w:val="00ED3E9A"/>
    <w:rsid w:val="00ED76F1"/>
    <w:rsid w:val="00EE0108"/>
    <w:rsid w:val="00EE0178"/>
    <w:rsid w:val="00EE0E76"/>
    <w:rsid w:val="00EE10E5"/>
    <w:rsid w:val="00EE1561"/>
    <w:rsid w:val="00EE2D70"/>
    <w:rsid w:val="00EE2F69"/>
    <w:rsid w:val="00EE3CA0"/>
    <w:rsid w:val="00EE641D"/>
    <w:rsid w:val="00EE66B7"/>
    <w:rsid w:val="00EE6A96"/>
    <w:rsid w:val="00EF00C5"/>
    <w:rsid w:val="00EF1207"/>
    <w:rsid w:val="00EF1507"/>
    <w:rsid w:val="00EF1EE9"/>
    <w:rsid w:val="00EF28DA"/>
    <w:rsid w:val="00EF3E21"/>
    <w:rsid w:val="00EF3FF1"/>
    <w:rsid w:val="00EF4B07"/>
    <w:rsid w:val="00EF5808"/>
    <w:rsid w:val="00EF65E6"/>
    <w:rsid w:val="00EF6A10"/>
    <w:rsid w:val="00EF7B89"/>
    <w:rsid w:val="00F0012E"/>
    <w:rsid w:val="00F01174"/>
    <w:rsid w:val="00F01B52"/>
    <w:rsid w:val="00F023DD"/>
    <w:rsid w:val="00F02B10"/>
    <w:rsid w:val="00F02C13"/>
    <w:rsid w:val="00F03540"/>
    <w:rsid w:val="00F0389E"/>
    <w:rsid w:val="00F03C58"/>
    <w:rsid w:val="00F03C93"/>
    <w:rsid w:val="00F04219"/>
    <w:rsid w:val="00F0611E"/>
    <w:rsid w:val="00F0686D"/>
    <w:rsid w:val="00F06B1C"/>
    <w:rsid w:val="00F1189C"/>
    <w:rsid w:val="00F11A18"/>
    <w:rsid w:val="00F139A0"/>
    <w:rsid w:val="00F14270"/>
    <w:rsid w:val="00F14EAC"/>
    <w:rsid w:val="00F15217"/>
    <w:rsid w:val="00F15DBB"/>
    <w:rsid w:val="00F17678"/>
    <w:rsid w:val="00F21A4E"/>
    <w:rsid w:val="00F21A60"/>
    <w:rsid w:val="00F22673"/>
    <w:rsid w:val="00F2610D"/>
    <w:rsid w:val="00F308AB"/>
    <w:rsid w:val="00F30FD4"/>
    <w:rsid w:val="00F31072"/>
    <w:rsid w:val="00F3188C"/>
    <w:rsid w:val="00F32ED9"/>
    <w:rsid w:val="00F330AE"/>
    <w:rsid w:val="00F33D30"/>
    <w:rsid w:val="00F34102"/>
    <w:rsid w:val="00F346F7"/>
    <w:rsid w:val="00F35774"/>
    <w:rsid w:val="00F359B1"/>
    <w:rsid w:val="00F3678E"/>
    <w:rsid w:val="00F370F1"/>
    <w:rsid w:val="00F4034C"/>
    <w:rsid w:val="00F4051F"/>
    <w:rsid w:val="00F4198A"/>
    <w:rsid w:val="00F427DF"/>
    <w:rsid w:val="00F434BA"/>
    <w:rsid w:val="00F4352B"/>
    <w:rsid w:val="00F43E86"/>
    <w:rsid w:val="00F440DD"/>
    <w:rsid w:val="00F46563"/>
    <w:rsid w:val="00F46CCF"/>
    <w:rsid w:val="00F4709A"/>
    <w:rsid w:val="00F478FE"/>
    <w:rsid w:val="00F500E6"/>
    <w:rsid w:val="00F507E3"/>
    <w:rsid w:val="00F508A8"/>
    <w:rsid w:val="00F51FB6"/>
    <w:rsid w:val="00F52412"/>
    <w:rsid w:val="00F54810"/>
    <w:rsid w:val="00F54B4C"/>
    <w:rsid w:val="00F54E6F"/>
    <w:rsid w:val="00F5506B"/>
    <w:rsid w:val="00F55AF4"/>
    <w:rsid w:val="00F56233"/>
    <w:rsid w:val="00F56591"/>
    <w:rsid w:val="00F56652"/>
    <w:rsid w:val="00F576B6"/>
    <w:rsid w:val="00F57933"/>
    <w:rsid w:val="00F579BF"/>
    <w:rsid w:val="00F57B6A"/>
    <w:rsid w:val="00F57F2A"/>
    <w:rsid w:val="00F60108"/>
    <w:rsid w:val="00F6103A"/>
    <w:rsid w:val="00F617C9"/>
    <w:rsid w:val="00F64B0A"/>
    <w:rsid w:val="00F64E88"/>
    <w:rsid w:val="00F651E6"/>
    <w:rsid w:val="00F7036A"/>
    <w:rsid w:val="00F7242D"/>
    <w:rsid w:val="00F7267C"/>
    <w:rsid w:val="00F72AD2"/>
    <w:rsid w:val="00F72DCA"/>
    <w:rsid w:val="00F74A50"/>
    <w:rsid w:val="00F7645C"/>
    <w:rsid w:val="00F76697"/>
    <w:rsid w:val="00F80EE5"/>
    <w:rsid w:val="00F8170E"/>
    <w:rsid w:val="00F82719"/>
    <w:rsid w:val="00F82D93"/>
    <w:rsid w:val="00F839E3"/>
    <w:rsid w:val="00F84F68"/>
    <w:rsid w:val="00F850B3"/>
    <w:rsid w:val="00F86B68"/>
    <w:rsid w:val="00F86E4F"/>
    <w:rsid w:val="00F876CC"/>
    <w:rsid w:val="00F904A7"/>
    <w:rsid w:val="00F90CB8"/>
    <w:rsid w:val="00F9106E"/>
    <w:rsid w:val="00F9176A"/>
    <w:rsid w:val="00F926DB"/>
    <w:rsid w:val="00F929F2"/>
    <w:rsid w:val="00F92B5B"/>
    <w:rsid w:val="00F92D8B"/>
    <w:rsid w:val="00F93776"/>
    <w:rsid w:val="00F94CFD"/>
    <w:rsid w:val="00F95F21"/>
    <w:rsid w:val="00F96189"/>
    <w:rsid w:val="00F96E46"/>
    <w:rsid w:val="00F9734A"/>
    <w:rsid w:val="00FA0704"/>
    <w:rsid w:val="00FA0882"/>
    <w:rsid w:val="00FA0F7B"/>
    <w:rsid w:val="00FA161C"/>
    <w:rsid w:val="00FA1BC2"/>
    <w:rsid w:val="00FA3DA3"/>
    <w:rsid w:val="00FA3FCA"/>
    <w:rsid w:val="00FA4CC1"/>
    <w:rsid w:val="00FA57CA"/>
    <w:rsid w:val="00FA667E"/>
    <w:rsid w:val="00FB0088"/>
    <w:rsid w:val="00FB0694"/>
    <w:rsid w:val="00FB0760"/>
    <w:rsid w:val="00FB393D"/>
    <w:rsid w:val="00FB4298"/>
    <w:rsid w:val="00FB56C7"/>
    <w:rsid w:val="00FB5E1B"/>
    <w:rsid w:val="00FB66FE"/>
    <w:rsid w:val="00FB7CDF"/>
    <w:rsid w:val="00FC0F68"/>
    <w:rsid w:val="00FC3450"/>
    <w:rsid w:val="00FC3BD7"/>
    <w:rsid w:val="00FC3D6E"/>
    <w:rsid w:val="00FC3EC7"/>
    <w:rsid w:val="00FC3EE9"/>
    <w:rsid w:val="00FC42DF"/>
    <w:rsid w:val="00FD06F1"/>
    <w:rsid w:val="00FD093E"/>
    <w:rsid w:val="00FD131D"/>
    <w:rsid w:val="00FD1BFD"/>
    <w:rsid w:val="00FD450E"/>
    <w:rsid w:val="00FD6FFE"/>
    <w:rsid w:val="00FD7A5C"/>
    <w:rsid w:val="00FE0D65"/>
    <w:rsid w:val="00FE14E6"/>
    <w:rsid w:val="00FE1F18"/>
    <w:rsid w:val="00FE2B53"/>
    <w:rsid w:val="00FE320B"/>
    <w:rsid w:val="00FE3399"/>
    <w:rsid w:val="00FE36AF"/>
    <w:rsid w:val="00FE387A"/>
    <w:rsid w:val="00FE4966"/>
    <w:rsid w:val="00FE5C5E"/>
    <w:rsid w:val="00FE60EB"/>
    <w:rsid w:val="00FE7927"/>
    <w:rsid w:val="00FE7F18"/>
    <w:rsid w:val="00FF0DAA"/>
    <w:rsid w:val="00FF3E76"/>
    <w:rsid w:val="00FF54A2"/>
    <w:rsid w:val="00FF7590"/>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96174D4"/>
  <w15:docId w15:val="{CC0DDFD3-BF22-4B15-8C64-0692A1CE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C31"/>
    <w:pPr>
      <w:ind w:left="720"/>
      <w:contextualSpacing/>
    </w:pPr>
  </w:style>
  <w:style w:type="paragraph" w:styleId="BalloonText">
    <w:name w:val="Balloon Text"/>
    <w:basedOn w:val="Normal"/>
    <w:link w:val="BalloonTextChar"/>
    <w:uiPriority w:val="99"/>
    <w:semiHidden/>
    <w:unhideWhenUsed/>
    <w:rsid w:val="00FE2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B53"/>
    <w:rPr>
      <w:rFonts w:ascii="Tahoma" w:hAnsi="Tahoma" w:cs="Tahoma"/>
      <w:sz w:val="16"/>
      <w:szCs w:val="16"/>
    </w:rPr>
  </w:style>
  <w:style w:type="paragraph" w:styleId="Header">
    <w:name w:val="header"/>
    <w:basedOn w:val="Normal"/>
    <w:link w:val="HeaderChar"/>
    <w:uiPriority w:val="99"/>
    <w:unhideWhenUsed/>
    <w:rsid w:val="004D5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236"/>
  </w:style>
  <w:style w:type="paragraph" w:styleId="Footer">
    <w:name w:val="footer"/>
    <w:basedOn w:val="Normal"/>
    <w:link w:val="FooterChar"/>
    <w:unhideWhenUsed/>
    <w:rsid w:val="004D52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5236"/>
  </w:style>
  <w:style w:type="paragraph" w:customStyle="1" w:styleId="Default">
    <w:name w:val="Default"/>
    <w:rsid w:val="001A079A"/>
    <w:pPr>
      <w:autoSpaceDE w:val="0"/>
      <w:autoSpaceDN w:val="0"/>
      <w:adjustRightInd w:val="0"/>
      <w:spacing w:after="0" w:line="240" w:lineRule="auto"/>
    </w:pPr>
    <w:rPr>
      <w:rFonts w:ascii="Times New Roman" w:hAnsi="Times New Roman" w:cs="Times New Roman"/>
      <w:color w:val="000000"/>
      <w:sz w:val="24"/>
      <w:szCs w:val="24"/>
    </w:rPr>
  </w:style>
  <w:style w:type="character" w:styleId="IntenseReference">
    <w:name w:val="Intense Reference"/>
    <w:basedOn w:val="DefaultParagraphFont"/>
    <w:uiPriority w:val="32"/>
    <w:qFormat/>
    <w:rsid w:val="000975A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433">
      <w:bodyDiv w:val="1"/>
      <w:marLeft w:val="0"/>
      <w:marRight w:val="0"/>
      <w:marTop w:val="0"/>
      <w:marBottom w:val="0"/>
      <w:divBdr>
        <w:top w:val="none" w:sz="0" w:space="0" w:color="auto"/>
        <w:left w:val="none" w:sz="0" w:space="0" w:color="auto"/>
        <w:bottom w:val="none" w:sz="0" w:space="0" w:color="auto"/>
        <w:right w:val="none" w:sz="0" w:space="0" w:color="auto"/>
      </w:divBdr>
    </w:div>
    <w:div w:id="47415136">
      <w:bodyDiv w:val="1"/>
      <w:marLeft w:val="0"/>
      <w:marRight w:val="0"/>
      <w:marTop w:val="0"/>
      <w:marBottom w:val="0"/>
      <w:divBdr>
        <w:top w:val="none" w:sz="0" w:space="0" w:color="auto"/>
        <w:left w:val="none" w:sz="0" w:space="0" w:color="auto"/>
        <w:bottom w:val="none" w:sz="0" w:space="0" w:color="auto"/>
        <w:right w:val="none" w:sz="0" w:space="0" w:color="auto"/>
      </w:divBdr>
    </w:div>
    <w:div w:id="119303157">
      <w:bodyDiv w:val="1"/>
      <w:marLeft w:val="0"/>
      <w:marRight w:val="0"/>
      <w:marTop w:val="0"/>
      <w:marBottom w:val="0"/>
      <w:divBdr>
        <w:top w:val="none" w:sz="0" w:space="0" w:color="auto"/>
        <w:left w:val="none" w:sz="0" w:space="0" w:color="auto"/>
        <w:bottom w:val="none" w:sz="0" w:space="0" w:color="auto"/>
        <w:right w:val="none" w:sz="0" w:space="0" w:color="auto"/>
      </w:divBdr>
    </w:div>
    <w:div w:id="325130490">
      <w:bodyDiv w:val="1"/>
      <w:marLeft w:val="0"/>
      <w:marRight w:val="0"/>
      <w:marTop w:val="0"/>
      <w:marBottom w:val="0"/>
      <w:divBdr>
        <w:top w:val="none" w:sz="0" w:space="0" w:color="auto"/>
        <w:left w:val="none" w:sz="0" w:space="0" w:color="auto"/>
        <w:bottom w:val="none" w:sz="0" w:space="0" w:color="auto"/>
        <w:right w:val="none" w:sz="0" w:space="0" w:color="auto"/>
      </w:divBdr>
    </w:div>
    <w:div w:id="1115639082">
      <w:bodyDiv w:val="1"/>
      <w:marLeft w:val="0"/>
      <w:marRight w:val="0"/>
      <w:marTop w:val="0"/>
      <w:marBottom w:val="0"/>
      <w:divBdr>
        <w:top w:val="none" w:sz="0" w:space="0" w:color="auto"/>
        <w:left w:val="none" w:sz="0" w:space="0" w:color="auto"/>
        <w:bottom w:val="none" w:sz="0" w:space="0" w:color="auto"/>
        <w:right w:val="none" w:sz="0" w:space="0" w:color="auto"/>
      </w:divBdr>
    </w:div>
    <w:div w:id="1656760253">
      <w:bodyDiv w:val="1"/>
      <w:marLeft w:val="0"/>
      <w:marRight w:val="0"/>
      <w:marTop w:val="0"/>
      <w:marBottom w:val="0"/>
      <w:divBdr>
        <w:top w:val="none" w:sz="0" w:space="0" w:color="auto"/>
        <w:left w:val="none" w:sz="0" w:space="0" w:color="auto"/>
        <w:bottom w:val="none" w:sz="0" w:space="0" w:color="auto"/>
        <w:right w:val="none" w:sz="0" w:space="0" w:color="auto"/>
      </w:divBdr>
    </w:div>
    <w:div w:id="1713117756">
      <w:bodyDiv w:val="1"/>
      <w:marLeft w:val="0"/>
      <w:marRight w:val="0"/>
      <w:marTop w:val="0"/>
      <w:marBottom w:val="0"/>
      <w:divBdr>
        <w:top w:val="none" w:sz="0" w:space="0" w:color="auto"/>
        <w:left w:val="none" w:sz="0" w:space="0" w:color="auto"/>
        <w:bottom w:val="none" w:sz="0" w:space="0" w:color="auto"/>
        <w:right w:val="none" w:sz="0" w:space="0" w:color="auto"/>
      </w:divBdr>
    </w:div>
    <w:div w:id="1878738878">
      <w:bodyDiv w:val="1"/>
      <w:marLeft w:val="0"/>
      <w:marRight w:val="0"/>
      <w:marTop w:val="0"/>
      <w:marBottom w:val="0"/>
      <w:divBdr>
        <w:top w:val="none" w:sz="0" w:space="0" w:color="auto"/>
        <w:left w:val="none" w:sz="0" w:space="0" w:color="auto"/>
        <w:bottom w:val="none" w:sz="0" w:space="0" w:color="auto"/>
        <w:right w:val="none" w:sz="0" w:space="0" w:color="auto"/>
      </w:divBdr>
    </w:div>
    <w:div w:id="2083336294">
      <w:bodyDiv w:val="1"/>
      <w:marLeft w:val="0"/>
      <w:marRight w:val="0"/>
      <w:marTop w:val="0"/>
      <w:marBottom w:val="0"/>
      <w:divBdr>
        <w:top w:val="none" w:sz="0" w:space="0" w:color="auto"/>
        <w:left w:val="none" w:sz="0" w:space="0" w:color="auto"/>
        <w:bottom w:val="none" w:sz="0" w:space="0" w:color="auto"/>
        <w:right w:val="none" w:sz="0" w:space="0" w:color="auto"/>
      </w:divBdr>
      <w:divsChild>
        <w:div w:id="1049064332">
          <w:marLeft w:val="0"/>
          <w:marRight w:val="0"/>
          <w:marTop w:val="0"/>
          <w:marBottom w:val="0"/>
          <w:divBdr>
            <w:top w:val="none" w:sz="0" w:space="0" w:color="auto"/>
            <w:left w:val="none" w:sz="0" w:space="0" w:color="auto"/>
            <w:bottom w:val="none" w:sz="0" w:space="0" w:color="auto"/>
            <w:right w:val="none" w:sz="0" w:space="0" w:color="auto"/>
          </w:divBdr>
        </w:div>
        <w:div w:id="1431900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72F6-722C-4B66-AE48-D1671A43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4514</TotalTime>
  <Pages>7</Pages>
  <Words>1913</Words>
  <Characters>10985</Characters>
  <Application>Microsoft Office Word</Application>
  <DocSecurity>0</DocSecurity>
  <Lines>261</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Lanyon</dc:creator>
  <cp:keywords/>
  <dc:description/>
  <cp:lastModifiedBy>Mark Lanyon</cp:lastModifiedBy>
  <cp:revision>55</cp:revision>
  <cp:lastPrinted>2025-10-16T14:13:00Z</cp:lastPrinted>
  <dcterms:created xsi:type="dcterms:W3CDTF">2025-04-07T20:11:00Z</dcterms:created>
  <dcterms:modified xsi:type="dcterms:W3CDTF">2025-10-16T17:02:00Z</dcterms:modified>
</cp:coreProperties>
</file>