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9BD" w14:textId="12561D6E" w:rsidR="004D5236" w:rsidRPr="004D5236" w:rsidRDefault="004D5236" w:rsidP="001C7F4D">
      <w:pPr>
        <w:spacing w:after="0" w:line="240" w:lineRule="auto"/>
        <w:rPr>
          <w:rFonts w:ascii="Times New Roman" w:hAnsi="Times New Roman" w:cs="Times New Roman"/>
          <w:sz w:val="20"/>
          <w:szCs w:val="20"/>
        </w:rPr>
      </w:pPr>
    </w:p>
    <w:p w14:paraId="64850690" w14:textId="4F2AB323" w:rsidR="001C7F4D" w:rsidRPr="00500889" w:rsidRDefault="00A36AB6" w:rsidP="00652E75">
      <w:pPr>
        <w:spacing w:after="0" w:line="240" w:lineRule="auto"/>
        <w:jc w:val="right"/>
        <w:rPr>
          <w:rFonts w:ascii="Times New Roman" w:hAnsi="Times New Roman" w:cs="Times New Roman"/>
        </w:rPr>
      </w:pPr>
      <w:r>
        <w:rPr>
          <w:rFonts w:ascii="Times New Roman" w:hAnsi="Times New Roman" w:cs="Times New Roman"/>
        </w:rPr>
        <w:t>January</w:t>
      </w:r>
      <w:r w:rsidR="00652E75">
        <w:rPr>
          <w:rFonts w:ascii="Times New Roman" w:hAnsi="Times New Roman" w:cs="Times New Roman"/>
        </w:rPr>
        <w:t xml:space="preserve"> 202</w:t>
      </w:r>
      <w:r w:rsidR="00AC6F67">
        <w:rPr>
          <w:rFonts w:ascii="Times New Roman" w:hAnsi="Times New Roman" w:cs="Times New Roman"/>
        </w:rPr>
        <w:t>6</w:t>
      </w:r>
    </w:p>
    <w:p w14:paraId="5E59B746" w14:textId="53D57120" w:rsidR="004D5236" w:rsidRDefault="004D5236" w:rsidP="001C7F4D">
      <w:pPr>
        <w:spacing w:after="0" w:line="240" w:lineRule="auto"/>
        <w:rPr>
          <w:rFonts w:ascii="Times New Roman" w:hAnsi="Times New Roman" w:cs="Times New Roman"/>
        </w:rPr>
      </w:pPr>
    </w:p>
    <w:p w14:paraId="32948CF7" w14:textId="77777777" w:rsidR="00F370F1" w:rsidRDefault="00A70890" w:rsidP="001C7F4D">
      <w:pPr>
        <w:spacing w:after="0" w:line="240" w:lineRule="auto"/>
        <w:rPr>
          <w:rFonts w:ascii="Times New Roman" w:hAnsi="Times New Roman" w:cs="Times New Roman"/>
        </w:rPr>
      </w:pPr>
      <w:r w:rsidRPr="0047153C">
        <w:rPr>
          <w:rFonts w:ascii="Times New Roman" w:hAnsi="Times New Roman" w:cs="Times New Roman"/>
        </w:rPr>
        <w:t xml:space="preserve">Dear </w:t>
      </w:r>
      <w:r w:rsidR="00F330AE" w:rsidRPr="0047153C">
        <w:rPr>
          <w:rFonts w:ascii="Times New Roman" w:hAnsi="Times New Roman" w:cs="Times New Roman"/>
        </w:rPr>
        <w:t>Turtle Creek Client</w:t>
      </w:r>
      <w:r w:rsidR="00CB780E" w:rsidRPr="0047153C">
        <w:rPr>
          <w:rFonts w:ascii="Times New Roman" w:hAnsi="Times New Roman" w:cs="Times New Roman"/>
        </w:rPr>
        <w:t xml:space="preserve">, </w:t>
      </w:r>
      <w:r w:rsidR="004D5236" w:rsidRPr="0047153C">
        <w:rPr>
          <w:rFonts w:ascii="Times New Roman" w:hAnsi="Times New Roman" w:cs="Times New Roman"/>
        </w:rPr>
        <w:tab/>
      </w:r>
    </w:p>
    <w:p w14:paraId="4623AEEA" w14:textId="6D1C7732" w:rsidR="009A3B65" w:rsidRPr="00433CD7" w:rsidRDefault="004D5236" w:rsidP="00433CD7">
      <w:pPr>
        <w:spacing w:after="0" w:line="240" w:lineRule="auto"/>
        <w:rPr>
          <w:rFonts w:ascii="Times New Roman" w:hAnsi="Times New Roman" w:cs="Times New Roman"/>
        </w:rPr>
      </w:pPr>
      <w:r w:rsidRPr="00433CD7">
        <w:rPr>
          <w:rFonts w:ascii="Times New Roman" w:hAnsi="Times New Roman" w:cs="Times New Roman"/>
        </w:rPr>
        <w:tab/>
      </w:r>
      <w:r w:rsidRPr="00433CD7">
        <w:rPr>
          <w:rFonts w:ascii="Times New Roman" w:hAnsi="Times New Roman" w:cs="Times New Roman"/>
        </w:rPr>
        <w:tab/>
      </w:r>
    </w:p>
    <w:p w14:paraId="2DFE5624" w14:textId="636F45E3" w:rsidR="00AA6013" w:rsidRDefault="008F66C4" w:rsidP="008F66C4">
      <w:pPr>
        <w:pStyle w:val="Default"/>
        <w:rPr>
          <w:sz w:val="22"/>
          <w:szCs w:val="22"/>
        </w:rPr>
      </w:pPr>
      <w:r>
        <w:rPr>
          <w:sz w:val="22"/>
          <w:szCs w:val="22"/>
        </w:rPr>
        <w:t xml:space="preserve">U.S. stocks </w:t>
      </w:r>
      <w:r w:rsidR="00252440">
        <w:rPr>
          <w:sz w:val="22"/>
          <w:szCs w:val="22"/>
        </w:rPr>
        <w:t xml:space="preserve">advanced slightly </w:t>
      </w:r>
      <w:r>
        <w:rPr>
          <w:sz w:val="22"/>
          <w:szCs w:val="22"/>
        </w:rPr>
        <w:t xml:space="preserve">during the fourth quarter, </w:t>
      </w:r>
      <w:r w:rsidR="00252440">
        <w:rPr>
          <w:sz w:val="22"/>
          <w:szCs w:val="22"/>
        </w:rPr>
        <w:t xml:space="preserve">building on strong year-to-date gains and </w:t>
      </w:r>
      <w:r w:rsidR="00D253E1">
        <w:rPr>
          <w:sz w:val="22"/>
          <w:szCs w:val="22"/>
        </w:rPr>
        <w:t xml:space="preserve">exhibiting </w:t>
      </w:r>
      <w:r w:rsidR="002274AF">
        <w:rPr>
          <w:sz w:val="22"/>
          <w:szCs w:val="22"/>
        </w:rPr>
        <w:t>a general broadening of stock returns that had</w:t>
      </w:r>
      <w:r w:rsidR="006D772B">
        <w:rPr>
          <w:sz w:val="22"/>
          <w:szCs w:val="22"/>
        </w:rPr>
        <w:t xml:space="preserve"> previously </w:t>
      </w:r>
      <w:r w:rsidR="002274AF">
        <w:rPr>
          <w:sz w:val="22"/>
          <w:szCs w:val="22"/>
        </w:rPr>
        <w:t xml:space="preserve">relied almost completely on </w:t>
      </w:r>
      <w:r w:rsidR="002540D4">
        <w:rPr>
          <w:sz w:val="22"/>
          <w:szCs w:val="22"/>
        </w:rPr>
        <w:t>Artificial Intelligence</w:t>
      </w:r>
      <w:r w:rsidR="002274AF">
        <w:rPr>
          <w:sz w:val="22"/>
          <w:szCs w:val="22"/>
        </w:rPr>
        <w:t xml:space="preserve"> related </w:t>
      </w:r>
      <w:r w:rsidR="00FD46D0">
        <w:rPr>
          <w:sz w:val="22"/>
          <w:szCs w:val="22"/>
        </w:rPr>
        <w:t>stocks</w:t>
      </w:r>
      <w:r w:rsidR="002274AF">
        <w:rPr>
          <w:sz w:val="22"/>
          <w:szCs w:val="22"/>
        </w:rPr>
        <w:t xml:space="preserve"> through the </w:t>
      </w:r>
      <w:r w:rsidR="00650B08">
        <w:rPr>
          <w:sz w:val="22"/>
          <w:szCs w:val="22"/>
        </w:rPr>
        <w:t xml:space="preserve">first </w:t>
      </w:r>
      <w:r w:rsidR="00D253E1">
        <w:rPr>
          <w:sz w:val="22"/>
          <w:szCs w:val="22"/>
        </w:rPr>
        <w:t>nine months of the</w:t>
      </w:r>
      <w:r w:rsidR="002274AF">
        <w:rPr>
          <w:sz w:val="22"/>
          <w:szCs w:val="22"/>
        </w:rPr>
        <w:t xml:space="preserve"> year. International markets also </w:t>
      </w:r>
      <w:r w:rsidR="00DC4C3F">
        <w:rPr>
          <w:sz w:val="22"/>
          <w:szCs w:val="22"/>
        </w:rPr>
        <w:t>posted positive results</w:t>
      </w:r>
      <w:r w:rsidR="002274AF">
        <w:rPr>
          <w:sz w:val="22"/>
          <w:szCs w:val="22"/>
        </w:rPr>
        <w:t xml:space="preserve"> during the period while </w:t>
      </w:r>
      <w:r w:rsidR="006F0C39">
        <w:rPr>
          <w:sz w:val="22"/>
          <w:szCs w:val="22"/>
        </w:rPr>
        <w:t>interest rate</w:t>
      </w:r>
      <w:r w:rsidR="00D253E1">
        <w:rPr>
          <w:sz w:val="22"/>
          <w:szCs w:val="22"/>
        </w:rPr>
        <w:t>s</w:t>
      </w:r>
      <w:r w:rsidR="006F0C39">
        <w:rPr>
          <w:sz w:val="22"/>
          <w:szCs w:val="22"/>
        </w:rPr>
        <w:t xml:space="preserve"> were fla</w:t>
      </w:r>
      <w:r w:rsidR="00D253E1">
        <w:rPr>
          <w:sz w:val="22"/>
          <w:szCs w:val="22"/>
        </w:rPr>
        <w:t>t for the quarter.</w:t>
      </w:r>
    </w:p>
    <w:p w14:paraId="2C17960A" w14:textId="77777777" w:rsidR="00D253E1" w:rsidRDefault="00D253E1" w:rsidP="008F66C4">
      <w:pPr>
        <w:pStyle w:val="Default"/>
        <w:rPr>
          <w:sz w:val="22"/>
          <w:szCs w:val="22"/>
        </w:rPr>
      </w:pPr>
    </w:p>
    <w:p w14:paraId="0EE57637" w14:textId="4236AFA1" w:rsidR="008B441C" w:rsidRDefault="00D253E1" w:rsidP="008F66C4">
      <w:pPr>
        <w:pStyle w:val="Default"/>
        <w:rPr>
          <w:sz w:val="22"/>
          <w:szCs w:val="22"/>
        </w:rPr>
      </w:pPr>
      <w:r>
        <w:rPr>
          <w:sz w:val="22"/>
          <w:szCs w:val="22"/>
        </w:rPr>
        <w:t xml:space="preserve">Turtle Creek </w:t>
      </w:r>
      <w:r w:rsidR="00EE034B">
        <w:rPr>
          <w:sz w:val="22"/>
          <w:szCs w:val="22"/>
        </w:rPr>
        <w:t xml:space="preserve">Trust </w:t>
      </w:r>
      <w:r>
        <w:rPr>
          <w:sz w:val="22"/>
          <w:szCs w:val="22"/>
        </w:rPr>
        <w:t xml:space="preserve">entered 2025 </w:t>
      </w:r>
      <w:r w:rsidR="00A23AA0">
        <w:rPr>
          <w:sz w:val="22"/>
          <w:szCs w:val="22"/>
        </w:rPr>
        <w:t>on a cautious note, fretting over mounting geo-political</w:t>
      </w:r>
      <w:r w:rsidR="00FC2865">
        <w:rPr>
          <w:sz w:val="22"/>
          <w:szCs w:val="22"/>
        </w:rPr>
        <w:t xml:space="preserve"> and inflationary risks, </w:t>
      </w:r>
      <w:r w:rsidR="00A23AA0">
        <w:rPr>
          <w:sz w:val="22"/>
          <w:szCs w:val="22"/>
        </w:rPr>
        <w:t xml:space="preserve">premium </w:t>
      </w:r>
      <w:r w:rsidR="003E59B9">
        <w:rPr>
          <w:sz w:val="22"/>
          <w:szCs w:val="22"/>
        </w:rPr>
        <w:t xml:space="preserve">stock </w:t>
      </w:r>
      <w:r w:rsidR="00A23AA0">
        <w:rPr>
          <w:sz w:val="22"/>
          <w:szCs w:val="22"/>
        </w:rPr>
        <w:t>valuations</w:t>
      </w:r>
      <w:r w:rsidR="00FC2865">
        <w:rPr>
          <w:sz w:val="22"/>
          <w:szCs w:val="22"/>
        </w:rPr>
        <w:t xml:space="preserve">, </w:t>
      </w:r>
      <w:r w:rsidR="00A23AA0">
        <w:rPr>
          <w:sz w:val="22"/>
          <w:szCs w:val="22"/>
        </w:rPr>
        <w:t xml:space="preserve">and the </w:t>
      </w:r>
      <w:r w:rsidR="00FC2865">
        <w:rPr>
          <w:sz w:val="22"/>
          <w:szCs w:val="22"/>
        </w:rPr>
        <w:t xml:space="preserve">potential for </w:t>
      </w:r>
      <w:r w:rsidR="00A23AA0">
        <w:rPr>
          <w:sz w:val="22"/>
          <w:szCs w:val="22"/>
        </w:rPr>
        <w:t xml:space="preserve">irrational exuberance </w:t>
      </w:r>
      <w:r w:rsidR="008B441C">
        <w:rPr>
          <w:sz w:val="22"/>
          <w:szCs w:val="22"/>
        </w:rPr>
        <w:t>i</w:t>
      </w:r>
      <w:r w:rsidR="00A23AA0">
        <w:rPr>
          <w:sz w:val="22"/>
          <w:szCs w:val="22"/>
        </w:rPr>
        <w:t xml:space="preserve">n the </w:t>
      </w:r>
      <w:r w:rsidR="002540D4">
        <w:rPr>
          <w:sz w:val="22"/>
          <w:szCs w:val="22"/>
        </w:rPr>
        <w:t>Artificial Intelligence</w:t>
      </w:r>
      <w:r w:rsidR="00A23AA0">
        <w:rPr>
          <w:sz w:val="22"/>
          <w:szCs w:val="22"/>
        </w:rPr>
        <w:t xml:space="preserve"> trade. </w:t>
      </w:r>
      <w:r w:rsidR="00650B08">
        <w:rPr>
          <w:sz w:val="22"/>
          <w:szCs w:val="22"/>
        </w:rPr>
        <w:t xml:space="preserve">This stance initially proved </w:t>
      </w:r>
      <w:r w:rsidR="003E59B9">
        <w:rPr>
          <w:sz w:val="22"/>
          <w:szCs w:val="22"/>
        </w:rPr>
        <w:t>wise</w:t>
      </w:r>
      <w:r w:rsidR="00650B08">
        <w:rPr>
          <w:sz w:val="22"/>
          <w:szCs w:val="22"/>
        </w:rPr>
        <w:t xml:space="preserve">, with markets falling nearly 15% through April as </w:t>
      </w:r>
      <w:r w:rsidR="00F50F28">
        <w:rPr>
          <w:sz w:val="22"/>
          <w:szCs w:val="22"/>
        </w:rPr>
        <w:t xml:space="preserve">the scale of </w:t>
      </w:r>
      <w:r w:rsidR="00650B08">
        <w:rPr>
          <w:sz w:val="22"/>
          <w:szCs w:val="22"/>
        </w:rPr>
        <w:t xml:space="preserve">Trump Administration’s trade </w:t>
      </w:r>
      <w:r w:rsidR="00F50F28">
        <w:rPr>
          <w:sz w:val="22"/>
          <w:szCs w:val="22"/>
        </w:rPr>
        <w:t xml:space="preserve">measures </w:t>
      </w:r>
      <w:r w:rsidR="00650B08">
        <w:rPr>
          <w:sz w:val="22"/>
          <w:szCs w:val="22"/>
        </w:rPr>
        <w:t xml:space="preserve">caught </w:t>
      </w:r>
      <w:r w:rsidR="00F50F28">
        <w:rPr>
          <w:sz w:val="22"/>
          <w:szCs w:val="22"/>
        </w:rPr>
        <w:t xml:space="preserve">markets’ flat-footed and greatly increased recessionary </w:t>
      </w:r>
      <w:r w:rsidR="00F50F28" w:rsidRPr="00BE3B0C">
        <w:rPr>
          <w:sz w:val="22"/>
          <w:szCs w:val="22"/>
        </w:rPr>
        <w:t xml:space="preserve">expectations. </w:t>
      </w:r>
      <w:r w:rsidR="00BE3B0C" w:rsidRPr="00BE3B0C">
        <w:rPr>
          <w:sz w:val="22"/>
          <w:szCs w:val="22"/>
        </w:rPr>
        <w:t>The</w:t>
      </w:r>
      <w:r w:rsidR="00D952F1">
        <w:rPr>
          <w:sz w:val="22"/>
          <w:szCs w:val="22"/>
        </w:rPr>
        <w:t>se</w:t>
      </w:r>
      <w:r w:rsidR="00BE3B0C" w:rsidRPr="00BE3B0C">
        <w:rPr>
          <w:sz w:val="22"/>
          <w:szCs w:val="22"/>
        </w:rPr>
        <w:t xml:space="preserve"> recessionary and inflationary </w:t>
      </w:r>
      <w:r w:rsidR="009E43E5">
        <w:rPr>
          <w:sz w:val="22"/>
          <w:szCs w:val="22"/>
        </w:rPr>
        <w:t>risks</w:t>
      </w:r>
      <w:r w:rsidR="00BE3B0C" w:rsidRPr="00BE3B0C">
        <w:rPr>
          <w:sz w:val="22"/>
          <w:szCs w:val="22"/>
        </w:rPr>
        <w:t xml:space="preserve"> failed to materialize, however, as </w:t>
      </w:r>
      <w:r w:rsidR="00D952F1">
        <w:rPr>
          <w:sz w:val="22"/>
          <w:szCs w:val="22"/>
        </w:rPr>
        <w:t>t</w:t>
      </w:r>
      <w:r w:rsidR="00BE3B0C" w:rsidRPr="00BE3B0C">
        <w:rPr>
          <w:sz w:val="22"/>
          <w:szCs w:val="22"/>
        </w:rPr>
        <w:t xml:space="preserve">he </w:t>
      </w:r>
      <w:r w:rsidR="006D772B" w:rsidRPr="00BE3B0C">
        <w:rPr>
          <w:sz w:val="22"/>
          <w:szCs w:val="22"/>
        </w:rPr>
        <w:t xml:space="preserve">Trump administration ultimately backtracked on </w:t>
      </w:r>
      <w:r w:rsidR="008B1E15">
        <w:rPr>
          <w:sz w:val="22"/>
          <w:szCs w:val="22"/>
        </w:rPr>
        <w:t>its</w:t>
      </w:r>
      <w:r w:rsidR="00BE3B0C">
        <w:rPr>
          <w:sz w:val="22"/>
          <w:szCs w:val="22"/>
        </w:rPr>
        <w:t xml:space="preserve"> most</w:t>
      </w:r>
      <w:r w:rsidR="006D772B" w:rsidRPr="00BE3B0C">
        <w:rPr>
          <w:sz w:val="22"/>
          <w:szCs w:val="22"/>
        </w:rPr>
        <w:t xml:space="preserve"> punitive trade measures</w:t>
      </w:r>
      <w:r w:rsidR="00FD46D0">
        <w:rPr>
          <w:sz w:val="22"/>
          <w:szCs w:val="22"/>
        </w:rPr>
        <w:t>. Stocks also enjoyed several</w:t>
      </w:r>
      <w:r w:rsidR="00D952F1">
        <w:rPr>
          <w:sz w:val="22"/>
          <w:szCs w:val="22"/>
        </w:rPr>
        <w:t xml:space="preserve"> </w:t>
      </w:r>
      <w:r w:rsidR="00BE3B0C">
        <w:rPr>
          <w:sz w:val="22"/>
          <w:szCs w:val="22"/>
        </w:rPr>
        <w:t>tailwin</w:t>
      </w:r>
      <w:r w:rsidR="00843EB7">
        <w:rPr>
          <w:sz w:val="22"/>
          <w:szCs w:val="22"/>
        </w:rPr>
        <w:t>d</w:t>
      </w:r>
      <w:r w:rsidR="00BE3B0C">
        <w:rPr>
          <w:sz w:val="22"/>
          <w:szCs w:val="22"/>
        </w:rPr>
        <w:t xml:space="preserve">s </w:t>
      </w:r>
      <w:r w:rsidR="009E43E5">
        <w:rPr>
          <w:sz w:val="22"/>
          <w:szCs w:val="22"/>
        </w:rPr>
        <w:t>throughout</w:t>
      </w:r>
      <w:r w:rsidR="00A670DD">
        <w:rPr>
          <w:sz w:val="22"/>
          <w:szCs w:val="22"/>
        </w:rPr>
        <w:t xml:space="preserve"> the year including </w:t>
      </w:r>
      <w:r w:rsidR="00D952F1">
        <w:rPr>
          <w:sz w:val="22"/>
          <w:szCs w:val="22"/>
        </w:rPr>
        <w:t xml:space="preserve">fiscal stimulus </w:t>
      </w:r>
      <w:r w:rsidR="00E518CF">
        <w:rPr>
          <w:sz w:val="22"/>
          <w:szCs w:val="22"/>
        </w:rPr>
        <w:t xml:space="preserve">from </w:t>
      </w:r>
      <w:r w:rsidR="00A670DD">
        <w:rPr>
          <w:sz w:val="22"/>
          <w:szCs w:val="22"/>
        </w:rPr>
        <w:t xml:space="preserve">the recent congressional budget and </w:t>
      </w:r>
      <w:r w:rsidR="00D952F1">
        <w:rPr>
          <w:sz w:val="22"/>
          <w:szCs w:val="22"/>
        </w:rPr>
        <w:t>a</w:t>
      </w:r>
      <w:r w:rsidR="00A670DD">
        <w:rPr>
          <w:sz w:val="22"/>
          <w:szCs w:val="22"/>
        </w:rPr>
        <w:t xml:space="preserve"> more accommodative </w:t>
      </w:r>
      <w:r w:rsidR="00D952F1">
        <w:rPr>
          <w:sz w:val="22"/>
          <w:szCs w:val="22"/>
        </w:rPr>
        <w:t>Federal Reserve</w:t>
      </w:r>
      <w:r w:rsidR="00A670DD">
        <w:rPr>
          <w:sz w:val="22"/>
          <w:szCs w:val="22"/>
        </w:rPr>
        <w:t xml:space="preserve"> that cut</w:t>
      </w:r>
      <w:r w:rsidR="00E518CF">
        <w:rPr>
          <w:sz w:val="22"/>
          <w:szCs w:val="22"/>
        </w:rPr>
        <w:t xml:space="preserve"> </w:t>
      </w:r>
      <w:r w:rsidR="00A670DD">
        <w:rPr>
          <w:sz w:val="22"/>
          <w:szCs w:val="22"/>
        </w:rPr>
        <w:t>rates twice during the fourth quarter. C</w:t>
      </w:r>
      <w:r w:rsidR="00BE3B0C" w:rsidRPr="00BE3B0C">
        <w:rPr>
          <w:sz w:val="22"/>
          <w:szCs w:val="22"/>
        </w:rPr>
        <w:t xml:space="preserve">orporate profits </w:t>
      </w:r>
      <w:r w:rsidR="00BE3B0C">
        <w:rPr>
          <w:sz w:val="22"/>
          <w:szCs w:val="22"/>
        </w:rPr>
        <w:t xml:space="preserve">ultimately </w:t>
      </w:r>
      <w:r w:rsidR="00BE3B0C" w:rsidRPr="00BE3B0C">
        <w:rPr>
          <w:sz w:val="22"/>
          <w:szCs w:val="22"/>
        </w:rPr>
        <w:t xml:space="preserve">showed great resilience </w:t>
      </w:r>
      <w:r w:rsidR="00A670DD" w:rsidRPr="00BE3B0C">
        <w:rPr>
          <w:sz w:val="22"/>
          <w:szCs w:val="22"/>
        </w:rPr>
        <w:t>throughout</w:t>
      </w:r>
      <w:r w:rsidR="00BE3B0C" w:rsidRPr="00BE3B0C">
        <w:rPr>
          <w:sz w:val="22"/>
          <w:szCs w:val="22"/>
        </w:rPr>
        <w:t xml:space="preserve"> the </w:t>
      </w:r>
      <w:r w:rsidR="00A670DD" w:rsidRPr="00BE3B0C">
        <w:rPr>
          <w:sz w:val="22"/>
          <w:szCs w:val="22"/>
        </w:rPr>
        <w:t>year,</w:t>
      </w:r>
      <w:r w:rsidR="00BE3B0C">
        <w:rPr>
          <w:sz w:val="22"/>
          <w:szCs w:val="22"/>
        </w:rPr>
        <w:t xml:space="preserve"> a</w:t>
      </w:r>
      <w:r w:rsidR="00BE3B0C" w:rsidRPr="00BE3B0C">
        <w:rPr>
          <w:sz w:val="22"/>
          <w:szCs w:val="22"/>
        </w:rPr>
        <w:t xml:space="preserve">nd </w:t>
      </w:r>
      <w:r w:rsidR="00FC2865" w:rsidRPr="00BE3B0C">
        <w:rPr>
          <w:sz w:val="22"/>
          <w:szCs w:val="22"/>
        </w:rPr>
        <w:t>markets staged a sustained rally off their early April lows.</w:t>
      </w:r>
      <w:r w:rsidR="00FC2865">
        <w:rPr>
          <w:sz w:val="22"/>
          <w:szCs w:val="22"/>
        </w:rPr>
        <w:t xml:space="preserve"> </w:t>
      </w:r>
    </w:p>
    <w:p w14:paraId="34DE24CA" w14:textId="77777777" w:rsidR="00A670DD" w:rsidRDefault="00A670DD" w:rsidP="008F66C4">
      <w:pPr>
        <w:pStyle w:val="Default"/>
        <w:rPr>
          <w:sz w:val="22"/>
          <w:szCs w:val="22"/>
        </w:rPr>
      </w:pPr>
    </w:p>
    <w:p w14:paraId="408895AC" w14:textId="6A4A4BC1" w:rsidR="00A670DD" w:rsidRDefault="00A670DD" w:rsidP="008F66C4">
      <w:pPr>
        <w:pStyle w:val="Default"/>
        <w:rPr>
          <w:sz w:val="22"/>
          <w:szCs w:val="22"/>
        </w:rPr>
      </w:pPr>
      <w:r>
        <w:rPr>
          <w:sz w:val="22"/>
          <w:szCs w:val="22"/>
        </w:rPr>
        <w:t xml:space="preserve">Looking forward, </w:t>
      </w:r>
      <w:r w:rsidR="00E518CF">
        <w:rPr>
          <w:sz w:val="22"/>
          <w:szCs w:val="22"/>
        </w:rPr>
        <w:t>m</w:t>
      </w:r>
      <w:r>
        <w:rPr>
          <w:sz w:val="22"/>
          <w:szCs w:val="22"/>
        </w:rPr>
        <w:t xml:space="preserve">arket analysts and </w:t>
      </w:r>
      <w:r w:rsidR="00E518CF">
        <w:rPr>
          <w:sz w:val="22"/>
          <w:szCs w:val="22"/>
        </w:rPr>
        <w:t xml:space="preserve">corporate executives continue to </w:t>
      </w:r>
      <w:r>
        <w:rPr>
          <w:sz w:val="22"/>
          <w:szCs w:val="22"/>
        </w:rPr>
        <w:t xml:space="preserve">show great </w:t>
      </w:r>
      <w:r w:rsidR="00E518CF">
        <w:rPr>
          <w:sz w:val="22"/>
          <w:szCs w:val="22"/>
        </w:rPr>
        <w:t xml:space="preserve">optimism. Earnings forecasts </w:t>
      </w:r>
      <w:r w:rsidR="00ED7B5A">
        <w:rPr>
          <w:sz w:val="22"/>
          <w:szCs w:val="22"/>
        </w:rPr>
        <w:t xml:space="preserve">call for double-digit growth through the upcoming year, and </w:t>
      </w:r>
      <w:r w:rsidR="00C71181">
        <w:rPr>
          <w:sz w:val="22"/>
          <w:szCs w:val="22"/>
        </w:rPr>
        <w:t>A</w:t>
      </w:r>
      <w:r w:rsidR="00ED7B5A">
        <w:rPr>
          <w:sz w:val="22"/>
          <w:szCs w:val="22"/>
        </w:rPr>
        <w:t xml:space="preserve">nalyst S&amp;P 500 targets also call for another year of double-digit </w:t>
      </w:r>
      <w:r w:rsidR="009E43E5">
        <w:rPr>
          <w:sz w:val="22"/>
          <w:szCs w:val="22"/>
        </w:rPr>
        <w:t xml:space="preserve">market </w:t>
      </w:r>
      <w:r w:rsidR="00ED7B5A">
        <w:rPr>
          <w:sz w:val="22"/>
          <w:szCs w:val="22"/>
        </w:rPr>
        <w:t>gains</w:t>
      </w:r>
      <w:r w:rsidR="009E43E5">
        <w:rPr>
          <w:sz w:val="22"/>
          <w:szCs w:val="22"/>
        </w:rPr>
        <w:t xml:space="preserve"> in 2026</w:t>
      </w:r>
      <w:r w:rsidR="00ED7B5A">
        <w:rPr>
          <w:sz w:val="22"/>
          <w:szCs w:val="22"/>
        </w:rPr>
        <w:t xml:space="preserve">. As Turtle Creek Trust is a firm that prefers to be greedy when others are fearful and vice versa, this near universal optimism in the face of many still relevant market risks gives us pause. We continue to emphasize our Bear Market playbook at this juncture, urging clients to maintain appropriate diversification, cull back winners in a tax sensitive manner, and make sure all near term obligations are fully funded. </w:t>
      </w:r>
    </w:p>
    <w:p w14:paraId="2837A445" w14:textId="77777777" w:rsidR="00DA0B32" w:rsidRDefault="00DA0B32" w:rsidP="001A3876">
      <w:pPr>
        <w:pStyle w:val="Default"/>
        <w:rPr>
          <w:sz w:val="22"/>
          <w:szCs w:val="22"/>
        </w:rPr>
      </w:pPr>
    </w:p>
    <w:p w14:paraId="4E682E48" w14:textId="769EA5E4" w:rsidR="00E0622F" w:rsidRDefault="00177F15" w:rsidP="0088565B">
      <w:pPr>
        <w:pStyle w:val="Default"/>
        <w:rPr>
          <w:sz w:val="22"/>
          <w:szCs w:val="22"/>
        </w:rPr>
      </w:pPr>
      <w:r>
        <w:rPr>
          <w:noProof/>
          <w:sz w:val="22"/>
          <w:szCs w:val="22"/>
        </w:rPr>
        <w:drawing>
          <wp:inline distT="0" distB="0" distL="0" distR="0" wp14:anchorId="1747FD25" wp14:editId="234E74FB">
            <wp:extent cx="5812790" cy="3232558"/>
            <wp:effectExtent l="0" t="0" r="0" b="6350"/>
            <wp:docPr id="213612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4781" cy="3244788"/>
                    </a:xfrm>
                    <a:prstGeom prst="rect">
                      <a:avLst/>
                    </a:prstGeom>
                    <a:noFill/>
                  </pic:spPr>
                </pic:pic>
              </a:graphicData>
            </a:graphic>
          </wp:inline>
        </w:drawing>
      </w:r>
    </w:p>
    <w:p w14:paraId="385D8216" w14:textId="7E383C24" w:rsidR="0026766A" w:rsidRDefault="0026766A" w:rsidP="00E0622F">
      <w:pPr>
        <w:pStyle w:val="Default"/>
        <w:rPr>
          <w:i/>
          <w:iCs/>
          <w:sz w:val="20"/>
          <w:szCs w:val="20"/>
        </w:rPr>
      </w:pPr>
      <w:r w:rsidRPr="00580079">
        <w:rPr>
          <w:i/>
          <w:iCs/>
          <w:sz w:val="20"/>
          <w:szCs w:val="20"/>
        </w:rPr>
        <w:t>Source: Bloomberg</w:t>
      </w:r>
    </w:p>
    <w:p w14:paraId="6E9A7536" w14:textId="77777777" w:rsidR="00B17665" w:rsidRDefault="00B17665" w:rsidP="000C7F30">
      <w:pPr>
        <w:pStyle w:val="Default"/>
        <w:jc w:val="center"/>
        <w:rPr>
          <w:b/>
          <w:bCs/>
          <w:sz w:val="22"/>
          <w:szCs w:val="22"/>
          <w:u w:val="single"/>
        </w:rPr>
      </w:pPr>
    </w:p>
    <w:p w14:paraId="0E278CA8" w14:textId="5B15CE5C" w:rsidR="000D5B73" w:rsidRDefault="00B22873" w:rsidP="000C7F30">
      <w:pPr>
        <w:pStyle w:val="Default"/>
        <w:jc w:val="center"/>
        <w:rPr>
          <w:b/>
          <w:bCs/>
          <w:sz w:val="22"/>
          <w:szCs w:val="22"/>
          <w:u w:val="single"/>
        </w:rPr>
      </w:pPr>
      <w:r>
        <w:rPr>
          <w:b/>
          <w:bCs/>
          <w:sz w:val="22"/>
          <w:szCs w:val="22"/>
          <w:u w:val="single"/>
        </w:rPr>
        <w:t>Fourth Quarter</w:t>
      </w:r>
      <w:r w:rsidR="007D1A3A">
        <w:rPr>
          <w:b/>
          <w:bCs/>
          <w:sz w:val="22"/>
          <w:szCs w:val="22"/>
          <w:u w:val="single"/>
        </w:rPr>
        <w:t xml:space="preserve"> and </w:t>
      </w:r>
      <w:r w:rsidR="000C7F30" w:rsidRPr="000C7F30">
        <w:rPr>
          <w:b/>
          <w:bCs/>
          <w:sz w:val="22"/>
          <w:szCs w:val="22"/>
          <w:u w:val="single"/>
        </w:rPr>
        <w:t xml:space="preserve">Full Year </w:t>
      </w:r>
      <w:r w:rsidR="007D1A3A">
        <w:rPr>
          <w:b/>
          <w:bCs/>
          <w:sz w:val="22"/>
          <w:szCs w:val="22"/>
          <w:u w:val="single"/>
        </w:rPr>
        <w:t xml:space="preserve">Stock </w:t>
      </w:r>
      <w:r w:rsidR="000C7F30" w:rsidRPr="000C7F30">
        <w:rPr>
          <w:b/>
          <w:bCs/>
          <w:sz w:val="22"/>
          <w:szCs w:val="22"/>
          <w:u w:val="single"/>
        </w:rPr>
        <w:t>Market Performance</w:t>
      </w:r>
    </w:p>
    <w:p w14:paraId="03CECCD6" w14:textId="77777777" w:rsidR="001A6EEA" w:rsidRDefault="001A6EEA" w:rsidP="000C7F30">
      <w:pPr>
        <w:pStyle w:val="Default"/>
        <w:jc w:val="center"/>
        <w:rPr>
          <w:b/>
          <w:bCs/>
          <w:sz w:val="22"/>
          <w:szCs w:val="22"/>
          <w:u w:val="single"/>
        </w:rPr>
      </w:pPr>
    </w:p>
    <w:p w14:paraId="76897606" w14:textId="52764CE6" w:rsidR="00906C23" w:rsidRDefault="001A6EEA" w:rsidP="001A6EEA">
      <w:pPr>
        <w:pStyle w:val="Default"/>
        <w:rPr>
          <w:sz w:val="22"/>
          <w:szCs w:val="22"/>
        </w:rPr>
      </w:pPr>
      <w:r>
        <w:rPr>
          <w:sz w:val="22"/>
          <w:szCs w:val="22"/>
        </w:rPr>
        <w:t xml:space="preserve">U.S. </w:t>
      </w:r>
      <w:r w:rsidR="007E0CDD">
        <w:rPr>
          <w:sz w:val="22"/>
          <w:szCs w:val="22"/>
        </w:rPr>
        <w:t>s</w:t>
      </w:r>
      <w:r>
        <w:rPr>
          <w:sz w:val="22"/>
          <w:szCs w:val="22"/>
        </w:rPr>
        <w:t>tocks</w:t>
      </w:r>
      <w:r w:rsidR="00336666">
        <w:rPr>
          <w:sz w:val="22"/>
          <w:szCs w:val="22"/>
        </w:rPr>
        <w:t xml:space="preserve"> </w:t>
      </w:r>
      <w:r w:rsidR="00C9720D">
        <w:rPr>
          <w:sz w:val="22"/>
          <w:szCs w:val="22"/>
        </w:rPr>
        <w:t>(</w:t>
      </w:r>
      <w:r w:rsidR="00F440DD">
        <w:rPr>
          <w:sz w:val="22"/>
          <w:szCs w:val="22"/>
        </w:rPr>
        <w:t>as measured by the S&amp;P 500 Index</w:t>
      </w:r>
      <w:r w:rsidR="00C9720D">
        <w:rPr>
          <w:sz w:val="22"/>
          <w:szCs w:val="22"/>
        </w:rPr>
        <w:t>)</w:t>
      </w:r>
      <w:r w:rsidR="00F440DD">
        <w:rPr>
          <w:sz w:val="22"/>
          <w:szCs w:val="22"/>
        </w:rPr>
        <w:t xml:space="preserve"> </w:t>
      </w:r>
      <w:r w:rsidR="00397533">
        <w:rPr>
          <w:sz w:val="22"/>
          <w:szCs w:val="22"/>
        </w:rPr>
        <w:t>advanced 2.7% for the quarter,</w:t>
      </w:r>
      <w:r w:rsidR="009B2365">
        <w:rPr>
          <w:sz w:val="22"/>
          <w:szCs w:val="22"/>
        </w:rPr>
        <w:t xml:space="preserve"> pushing full year gains to 17.9</w:t>
      </w:r>
      <w:r w:rsidR="0088565B">
        <w:rPr>
          <w:sz w:val="22"/>
          <w:szCs w:val="22"/>
        </w:rPr>
        <w:t>%</w:t>
      </w:r>
      <w:r w:rsidR="009B2365">
        <w:rPr>
          <w:sz w:val="22"/>
          <w:szCs w:val="22"/>
        </w:rPr>
        <w:t xml:space="preserve"> by year end</w:t>
      </w:r>
      <w:r w:rsidR="0088565B">
        <w:rPr>
          <w:sz w:val="22"/>
          <w:szCs w:val="22"/>
        </w:rPr>
        <w:t xml:space="preserve">. </w:t>
      </w:r>
      <w:r w:rsidR="00626D4C">
        <w:rPr>
          <w:sz w:val="22"/>
          <w:szCs w:val="22"/>
        </w:rPr>
        <w:t>Nearly all</w:t>
      </w:r>
      <w:r w:rsidR="00EE1938">
        <w:rPr>
          <w:sz w:val="22"/>
          <w:szCs w:val="22"/>
        </w:rPr>
        <w:t xml:space="preserve"> economic sectors post</w:t>
      </w:r>
      <w:r w:rsidR="0088565B">
        <w:rPr>
          <w:sz w:val="22"/>
          <w:szCs w:val="22"/>
        </w:rPr>
        <w:t>ed</w:t>
      </w:r>
      <w:r w:rsidR="00EE1938">
        <w:rPr>
          <w:sz w:val="22"/>
          <w:szCs w:val="22"/>
        </w:rPr>
        <w:t xml:space="preserve"> positive results. Health care stocks were the biggest market winners, advancing nearly 12% </w:t>
      </w:r>
      <w:r w:rsidR="00303783">
        <w:rPr>
          <w:sz w:val="22"/>
          <w:szCs w:val="22"/>
        </w:rPr>
        <w:t xml:space="preserve">as many downtrodden pharmaceutical stocks posted strong double-digit gains due to a less punitive regulatory outlook for drug pricing and strong earnings results. Communications stocks also lead the overall market, entirely due to Alphabet (Google) shares jumping nearly 30% </w:t>
      </w:r>
      <w:r w:rsidR="00926382">
        <w:rPr>
          <w:sz w:val="22"/>
          <w:szCs w:val="22"/>
        </w:rPr>
        <w:t xml:space="preserve">during the period. Its Gemini AI engine made huge strides during the quarter, headlined by a global licensing agreement with Apple to power its Siri voice assistant on Apple products. </w:t>
      </w:r>
    </w:p>
    <w:p w14:paraId="30F782BB" w14:textId="77777777" w:rsidR="00926382" w:rsidRDefault="00926382" w:rsidP="001A6EEA">
      <w:pPr>
        <w:pStyle w:val="Default"/>
        <w:rPr>
          <w:sz w:val="22"/>
          <w:szCs w:val="22"/>
        </w:rPr>
      </w:pPr>
    </w:p>
    <w:p w14:paraId="54DCD1D1" w14:textId="40A1D095" w:rsidR="00CE7406" w:rsidRDefault="00926382" w:rsidP="009B2365">
      <w:pPr>
        <w:pStyle w:val="Default"/>
        <w:rPr>
          <w:sz w:val="22"/>
          <w:szCs w:val="22"/>
        </w:rPr>
      </w:pPr>
      <w:r>
        <w:rPr>
          <w:sz w:val="22"/>
          <w:szCs w:val="22"/>
        </w:rPr>
        <w:t xml:space="preserve">Real Estate and Utilities stocks posted losses for the period. These rate sensitive stocks had </w:t>
      </w:r>
      <w:r w:rsidR="008B1E15">
        <w:rPr>
          <w:sz w:val="22"/>
          <w:szCs w:val="22"/>
        </w:rPr>
        <w:t xml:space="preserve">traded up through </w:t>
      </w:r>
      <w:r w:rsidR="00380D87">
        <w:rPr>
          <w:sz w:val="22"/>
          <w:szCs w:val="22"/>
        </w:rPr>
        <w:t>the</w:t>
      </w:r>
      <w:r>
        <w:rPr>
          <w:sz w:val="22"/>
          <w:szCs w:val="22"/>
        </w:rPr>
        <w:t xml:space="preserve"> summer in anticipation of a Federal Reserve easing cycle. Hopes for further Fed rate cuts were dashed in the fourth quarter, however, as hiring and inflationary data came in stronger than expected. </w:t>
      </w:r>
      <w:r w:rsidR="00751908">
        <w:rPr>
          <w:sz w:val="22"/>
          <w:szCs w:val="22"/>
        </w:rPr>
        <w:t xml:space="preserve">Rate sensitive stocks sold off in sympathy. </w:t>
      </w:r>
    </w:p>
    <w:p w14:paraId="3AAC08AE" w14:textId="77777777" w:rsidR="009B2365" w:rsidRDefault="009B2365" w:rsidP="009B2365">
      <w:pPr>
        <w:pStyle w:val="Default"/>
        <w:rPr>
          <w:sz w:val="22"/>
          <w:szCs w:val="22"/>
        </w:rPr>
      </w:pPr>
    </w:p>
    <w:p w14:paraId="1B802E6A" w14:textId="7A78DA89" w:rsidR="00E90689" w:rsidRDefault="00E90689" w:rsidP="006D772B">
      <w:pPr>
        <w:spacing w:after="0" w:line="240" w:lineRule="auto"/>
        <w:jc w:val="center"/>
        <w:rPr>
          <w:noProof/>
        </w:rPr>
      </w:pPr>
      <w:r>
        <w:rPr>
          <w:rFonts w:ascii="Times New Roman" w:hAnsi="Times New Roman" w:cs="Times New Roman"/>
          <w:i/>
          <w:iCs/>
          <w:noProof/>
          <w:sz w:val="20"/>
          <w:szCs w:val="20"/>
        </w:rPr>
        <w:drawing>
          <wp:inline distT="0" distB="0" distL="0" distR="0" wp14:anchorId="5D3CB1A1" wp14:editId="2F49C0A9">
            <wp:extent cx="5912165" cy="3850923"/>
            <wp:effectExtent l="0" t="0" r="0" b="0"/>
            <wp:docPr id="503328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6276" cy="3899196"/>
                    </a:xfrm>
                    <a:prstGeom prst="rect">
                      <a:avLst/>
                    </a:prstGeom>
                    <a:noFill/>
                  </pic:spPr>
                </pic:pic>
              </a:graphicData>
            </a:graphic>
          </wp:inline>
        </w:drawing>
      </w:r>
    </w:p>
    <w:p w14:paraId="02F1362D" w14:textId="3B70CEF7" w:rsidR="00580079" w:rsidRPr="00580079" w:rsidRDefault="006D772B" w:rsidP="00E90689">
      <w:pPr>
        <w:spacing w:after="0" w:line="240" w:lineRule="auto"/>
        <w:rPr>
          <w:rFonts w:ascii="Times New Roman" w:hAnsi="Times New Roman" w:cs="Times New Roman"/>
          <w:b/>
          <w:bCs/>
          <w:sz w:val="20"/>
          <w:szCs w:val="20"/>
          <w:u w:val="single"/>
        </w:rPr>
      </w:pPr>
      <w:r>
        <w:rPr>
          <w:rFonts w:ascii="Times New Roman" w:hAnsi="Times New Roman" w:cs="Times New Roman"/>
          <w:i/>
          <w:iCs/>
          <w:sz w:val="20"/>
          <w:szCs w:val="20"/>
        </w:rPr>
        <w:t xml:space="preserve">         </w:t>
      </w:r>
      <w:r w:rsidR="00580079" w:rsidRPr="00580079">
        <w:rPr>
          <w:rFonts w:ascii="Times New Roman" w:hAnsi="Times New Roman" w:cs="Times New Roman"/>
          <w:i/>
          <w:iCs/>
          <w:sz w:val="20"/>
          <w:szCs w:val="20"/>
        </w:rPr>
        <w:t>Source: Bloomberg</w:t>
      </w:r>
    </w:p>
    <w:p w14:paraId="36A70ED5" w14:textId="41F0CDF5" w:rsidR="002D1210" w:rsidRDefault="002D1210" w:rsidP="000D5B73">
      <w:pPr>
        <w:pStyle w:val="Default"/>
        <w:rPr>
          <w:sz w:val="22"/>
          <w:szCs w:val="22"/>
        </w:rPr>
      </w:pPr>
    </w:p>
    <w:p w14:paraId="60CC7032" w14:textId="09E3216F" w:rsidR="00C906BF" w:rsidRDefault="009B2365" w:rsidP="000D5B73">
      <w:pPr>
        <w:pStyle w:val="Default"/>
        <w:rPr>
          <w:sz w:val="22"/>
          <w:szCs w:val="22"/>
        </w:rPr>
      </w:pPr>
      <w:r>
        <w:rPr>
          <w:sz w:val="22"/>
          <w:szCs w:val="22"/>
        </w:rPr>
        <w:t xml:space="preserve">International stocks </w:t>
      </w:r>
      <w:r w:rsidR="0088565B">
        <w:rPr>
          <w:sz w:val="22"/>
          <w:szCs w:val="22"/>
        </w:rPr>
        <w:t xml:space="preserve">continued their torrid advance through year end, with </w:t>
      </w:r>
      <w:r w:rsidR="009224B1">
        <w:rPr>
          <w:sz w:val="22"/>
          <w:szCs w:val="22"/>
        </w:rPr>
        <w:t xml:space="preserve">most every global region outperforming U.S. markets. European shares jumped 6% </w:t>
      </w:r>
      <w:r w:rsidR="00626D4C">
        <w:rPr>
          <w:sz w:val="22"/>
          <w:szCs w:val="22"/>
        </w:rPr>
        <w:t xml:space="preserve">in </w:t>
      </w:r>
      <w:r w:rsidR="009224B1">
        <w:rPr>
          <w:sz w:val="22"/>
          <w:szCs w:val="22"/>
        </w:rPr>
        <w:t xml:space="preserve">the quarter, </w:t>
      </w:r>
      <w:r w:rsidR="00CE1425">
        <w:rPr>
          <w:sz w:val="22"/>
          <w:szCs w:val="22"/>
        </w:rPr>
        <w:t xml:space="preserve">with </w:t>
      </w:r>
      <w:r w:rsidR="008B1E15">
        <w:rPr>
          <w:sz w:val="22"/>
          <w:szCs w:val="22"/>
        </w:rPr>
        <w:t xml:space="preserve">the European </w:t>
      </w:r>
      <w:r w:rsidR="00CE1425">
        <w:rPr>
          <w:sz w:val="22"/>
          <w:szCs w:val="22"/>
        </w:rPr>
        <w:t xml:space="preserve">Utility, Financial, and Health Care </w:t>
      </w:r>
      <w:r w:rsidR="008B1E15">
        <w:rPr>
          <w:sz w:val="22"/>
          <w:szCs w:val="22"/>
        </w:rPr>
        <w:t>sectors</w:t>
      </w:r>
      <w:r w:rsidR="00626D4C">
        <w:rPr>
          <w:sz w:val="22"/>
          <w:szCs w:val="22"/>
        </w:rPr>
        <w:t xml:space="preserve"> all</w:t>
      </w:r>
      <w:r w:rsidR="00CE1425">
        <w:rPr>
          <w:sz w:val="22"/>
          <w:szCs w:val="22"/>
        </w:rPr>
        <w:t xml:space="preserve"> </w:t>
      </w:r>
      <w:r w:rsidR="008B1E15">
        <w:rPr>
          <w:sz w:val="22"/>
          <w:szCs w:val="22"/>
        </w:rPr>
        <w:t>advancing by</w:t>
      </w:r>
      <w:r w:rsidR="00CE1425">
        <w:rPr>
          <w:sz w:val="22"/>
          <w:szCs w:val="22"/>
        </w:rPr>
        <w:t xml:space="preserve"> more than 10% </w:t>
      </w:r>
      <w:r w:rsidR="00626D4C">
        <w:rPr>
          <w:sz w:val="22"/>
          <w:szCs w:val="22"/>
        </w:rPr>
        <w:t>during the period</w:t>
      </w:r>
      <w:r w:rsidR="00CE1425">
        <w:rPr>
          <w:sz w:val="22"/>
          <w:szCs w:val="22"/>
        </w:rPr>
        <w:t xml:space="preserve">. Emerging market stocks posted a 4.7% gain despite noticeable weakness in Chinese shares. The Chinese economy produced a series of weak economic reports </w:t>
      </w:r>
      <w:r w:rsidR="00626D4C">
        <w:rPr>
          <w:sz w:val="22"/>
          <w:szCs w:val="22"/>
        </w:rPr>
        <w:t xml:space="preserve">displaying stagnating industrial </w:t>
      </w:r>
      <w:r w:rsidR="00751908">
        <w:rPr>
          <w:sz w:val="22"/>
          <w:szCs w:val="22"/>
        </w:rPr>
        <w:t xml:space="preserve">production </w:t>
      </w:r>
      <w:r w:rsidR="00626D4C">
        <w:rPr>
          <w:sz w:val="22"/>
          <w:szCs w:val="22"/>
        </w:rPr>
        <w:t xml:space="preserve">and weaker than expected retail spending. Those datapoints along with profit taking in technology and communications shares resulted in a 7.6% decline for China shares during the quarter. Even with China weakness at year end, </w:t>
      </w:r>
      <w:r w:rsidR="008B1E15">
        <w:rPr>
          <w:sz w:val="22"/>
          <w:szCs w:val="22"/>
        </w:rPr>
        <w:t>international</w:t>
      </w:r>
      <w:r w:rsidR="00626D4C">
        <w:rPr>
          <w:sz w:val="22"/>
          <w:szCs w:val="22"/>
        </w:rPr>
        <w:t xml:space="preserve"> shares posted banner results with most every region gaining more than 30% during 2025. Japan shares were the worst performer with a still impressive 25% gain</w:t>
      </w:r>
      <w:r w:rsidR="00751908">
        <w:rPr>
          <w:sz w:val="22"/>
          <w:szCs w:val="22"/>
        </w:rPr>
        <w:t>.</w:t>
      </w:r>
    </w:p>
    <w:p w14:paraId="040B9041" w14:textId="77777777" w:rsidR="00751908" w:rsidRDefault="00751908" w:rsidP="000D5B73">
      <w:pPr>
        <w:pStyle w:val="Default"/>
        <w:rPr>
          <w:sz w:val="22"/>
          <w:szCs w:val="22"/>
        </w:rPr>
      </w:pPr>
    </w:p>
    <w:p w14:paraId="6C44CDD4" w14:textId="29552604" w:rsidR="00751908" w:rsidRDefault="00751908" w:rsidP="0079518F">
      <w:pPr>
        <w:pStyle w:val="Default"/>
        <w:jc w:val="center"/>
        <w:rPr>
          <w:sz w:val="22"/>
          <w:szCs w:val="22"/>
        </w:rPr>
      </w:pPr>
      <w:r>
        <w:rPr>
          <w:noProof/>
          <w:sz w:val="22"/>
          <w:szCs w:val="22"/>
        </w:rPr>
        <w:lastRenderedPageBreak/>
        <w:drawing>
          <wp:inline distT="0" distB="0" distL="0" distR="0" wp14:anchorId="5DC9F520" wp14:editId="0C6D9E35">
            <wp:extent cx="5202936" cy="2935107"/>
            <wp:effectExtent l="0" t="0" r="0" b="0"/>
            <wp:docPr id="11390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2936" cy="2935107"/>
                    </a:xfrm>
                    <a:prstGeom prst="rect">
                      <a:avLst/>
                    </a:prstGeom>
                    <a:noFill/>
                  </pic:spPr>
                </pic:pic>
              </a:graphicData>
            </a:graphic>
          </wp:inline>
        </w:drawing>
      </w:r>
    </w:p>
    <w:p w14:paraId="6BDAEF2D" w14:textId="77777777" w:rsidR="0053149E" w:rsidRPr="00580079" w:rsidRDefault="0053149E" w:rsidP="000247EF">
      <w:pPr>
        <w:spacing w:after="0" w:line="240" w:lineRule="auto"/>
        <w:ind w:firstLine="720"/>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57B0D1E7" w14:textId="77777777" w:rsidR="002B6758" w:rsidRDefault="002B6758" w:rsidP="005F2C26">
      <w:pPr>
        <w:pStyle w:val="Default"/>
        <w:jc w:val="center"/>
        <w:rPr>
          <w:b/>
          <w:bCs/>
          <w:sz w:val="22"/>
          <w:szCs w:val="22"/>
          <w:u w:val="single"/>
        </w:rPr>
      </w:pPr>
    </w:p>
    <w:p w14:paraId="7A58FA69" w14:textId="66B56356" w:rsidR="005F2C26" w:rsidRPr="000C7F30" w:rsidRDefault="005E20D7" w:rsidP="005F2C26">
      <w:pPr>
        <w:pStyle w:val="Default"/>
        <w:jc w:val="center"/>
        <w:rPr>
          <w:b/>
          <w:bCs/>
          <w:sz w:val="22"/>
          <w:szCs w:val="22"/>
          <w:u w:val="single"/>
        </w:rPr>
      </w:pPr>
      <w:r>
        <w:rPr>
          <w:b/>
          <w:bCs/>
          <w:sz w:val="22"/>
          <w:szCs w:val="22"/>
          <w:u w:val="single"/>
        </w:rPr>
        <w:t>Fixed Income Markets</w:t>
      </w:r>
    </w:p>
    <w:p w14:paraId="2F3F2CBC" w14:textId="77777777" w:rsidR="007F7A28" w:rsidRDefault="007F7A28" w:rsidP="003A4632">
      <w:pPr>
        <w:spacing w:after="0" w:line="240" w:lineRule="auto"/>
        <w:rPr>
          <w:rFonts w:ascii="Times New Roman" w:hAnsi="Times New Roman" w:cs="Times New Roman"/>
        </w:rPr>
      </w:pPr>
    </w:p>
    <w:p w14:paraId="23E8244A" w14:textId="1ACBC517" w:rsidR="00246A24" w:rsidRDefault="00C45067" w:rsidP="00A33302">
      <w:pPr>
        <w:pStyle w:val="Default"/>
        <w:rPr>
          <w:sz w:val="22"/>
          <w:szCs w:val="22"/>
        </w:rPr>
      </w:pPr>
      <w:r>
        <w:rPr>
          <w:sz w:val="22"/>
          <w:szCs w:val="22"/>
        </w:rPr>
        <w:t xml:space="preserve">Interest rates </w:t>
      </w:r>
      <w:r w:rsidR="008B1E15">
        <w:rPr>
          <w:sz w:val="22"/>
          <w:szCs w:val="22"/>
        </w:rPr>
        <w:t xml:space="preserve">gyrated </w:t>
      </w:r>
      <w:r>
        <w:rPr>
          <w:sz w:val="22"/>
          <w:szCs w:val="22"/>
        </w:rPr>
        <w:t xml:space="preserve">through </w:t>
      </w:r>
      <w:r w:rsidR="0079518F">
        <w:rPr>
          <w:sz w:val="22"/>
          <w:szCs w:val="22"/>
        </w:rPr>
        <w:t>several</w:t>
      </w:r>
      <w:r>
        <w:rPr>
          <w:sz w:val="22"/>
          <w:szCs w:val="22"/>
        </w:rPr>
        <w:t xml:space="preserve"> volatile phases during 2025 but settled into a narrow range through the fourth quarter. The benchmark 10 Year Treasury yield began the year on a steep climb as inflationary concerns pushed traders to dump government bonds. The </w:t>
      </w:r>
      <w:r w:rsidR="008B1E15">
        <w:rPr>
          <w:sz w:val="22"/>
          <w:szCs w:val="22"/>
        </w:rPr>
        <w:t xml:space="preserve">sudden </w:t>
      </w:r>
      <w:r>
        <w:rPr>
          <w:sz w:val="22"/>
          <w:szCs w:val="22"/>
        </w:rPr>
        <w:t xml:space="preserve">shock of the Trump trade war caused a steep reversal in </w:t>
      </w:r>
      <w:r w:rsidR="0079518F">
        <w:rPr>
          <w:sz w:val="22"/>
          <w:szCs w:val="22"/>
        </w:rPr>
        <w:t xml:space="preserve">yields during </w:t>
      </w:r>
      <w:r>
        <w:rPr>
          <w:sz w:val="22"/>
          <w:szCs w:val="22"/>
        </w:rPr>
        <w:t xml:space="preserve">February, </w:t>
      </w:r>
      <w:r w:rsidR="0079518F">
        <w:rPr>
          <w:sz w:val="22"/>
          <w:szCs w:val="22"/>
        </w:rPr>
        <w:t xml:space="preserve">however, </w:t>
      </w:r>
      <w:r>
        <w:rPr>
          <w:sz w:val="22"/>
          <w:szCs w:val="22"/>
        </w:rPr>
        <w:t xml:space="preserve">as recessionary worries overtook the bond market and investors </w:t>
      </w:r>
      <w:r w:rsidR="0079518F">
        <w:rPr>
          <w:sz w:val="22"/>
          <w:szCs w:val="22"/>
        </w:rPr>
        <w:t xml:space="preserve">piled into the relatively safety of bonds. Rates reversed once again in April as investors reassessed the chances of recession and inflation, only to collapse yet again </w:t>
      </w:r>
      <w:r w:rsidR="008B1E15">
        <w:rPr>
          <w:sz w:val="22"/>
          <w:szCs w:val="22"/>
        </w:rPr>
        <w:t>starting in May</w:t>
      </w:r>
      <w:r w:rsidR="0079518F">
        <w:rPr>
          <w:sz w:val="22"/>
          <w:szCs w:val="22"/>
        </w:rPr>
        <w:t xml:space="preserve"> as the U.S. </w:t>
      </w:r>
      <w:r w:rsidR="008B1E15">
        <w:rPr>
          <w:sz w:val="22"/>
          <w:szCs w:val="22"/>
        </w:rPr>
        <w:t>e</w:t>
      </w:r>
      <w:r w:rsidR="0079518F">
        <w:rPr>
          <w:sz w:val="22"/>
          <w:szCs w:val="22"/>
        </w:rPr>
        <w:t xml:space="preserve">conomy showed </w:t>
      </w:r>
      <w:r w:rsidR="00645D41">
        <w:rPr>
          <w:sz w:val="22"/>
          <w:szCs w:val="22"/>
        </w:rPr>
        <w:t xml:space="preserve">signs of </w:t>
      </w:r>
      <w:r w:rsidR="003B3830">
        <w:rPr>
          <w:sz w:val="22"/>
          <w:szCs w:val="22"/>
        </w:rPr>
        <w:t>weak</w:t>
      </w:r>
      <w:r w:rsidR="00B05A0A">
        <w:rPr>
          <w:sz w:val="22"/>
          <w:szCs w:val="22"/>
        </w:rPr>
        <w:t>ness</w:t>
      </w:r>
      <w:r w:rsidR="003B3830">
        <w:rPr>
          <w:sz w:val="22"/>
          <w:szCs w:val="22"/>
        </w:rPr>
        <w:t xml:space="preserve"> </w:t>
      </w:r>
      <w:r w:rsidR="00B05A0A">
        <w:rPr>
          <w:sz w:val="22"/>
          <w:szCs w:val="22"/>
        </w:rPr>
        <w:t>investors were spooked by</w:t>
      </w:r>
      <w:r w:rsidR="003B3830">
        <w:rPr>
          <w:sz w:val="22"/>
          <w:szCs w:val="22"/>
        </w:rPr>
        <w:t xml:space="preserve"> the October government shutdown</w:t>
      </w:r>
      <w:r w:rsidR="000247EF">
        <w:rPr>
          <w:sz w:val="22"/>
          <w:szCs w:val="22"/>
        </w:rPr>
        <w:t>.</w:t>
      </w:r>
    </w:p>
    <w:p w14:paraId="3D9FADCE" w14:textId="77777777" w:rsidR="000247EF" w:rsidRDefault="000247EF" w:rsidP="00A33302">
      <w:pPr>
        <w:pStyle w:val="Default"/>
        <w:rPr>
          <w:sz w:val="22"/>
          <w:szCs w:val="22"/>
        </w:rPr>
      </w:pPr>
    </w:p>
    <w:p w14:paraId="79C14496" w14:textId="35A46B90" w:rsidR="000247EF" w:rsidRDefault="000247EF" w:rsidP="000247EF">
      <w:pPr>
        <w:pStyle w:val="Default"/>
        <w:jc w:val="center"/>
        <w:rPr>
          <w:sz w:val="22"/>
          <w:szCs w:val="22"/>
        </w:rPr>
      </w:pPr>
      <w:r>
        <w:rPr>
          <w:noProof/>
          <w:sz w:val="22"/>
          <w:szCs w:val="22"/>
        </w:rPr>
        <w:drawing>
          <wp:inline distT="0" distB="0" distL="0" distR="0" wp14:anchorId="12728B38" wp14:editId="340919C9">
            <wp:extent cx="5198745" cy="3362867"/>
            <wp:effectExtent l="0" t="0" r="1905" b="9525"/>
            <wp:docPr id="602543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3194" cy="3372214"/>
                    </a:xfrm>
                    <a:prstGeom prst="rect">
                      <a:avLst/>
                    </a:prstGeom>
                    <a:noFill/>
                  </pic:spPr>
                </pic:pic>
              </a:graphicData>
            </a:graphic>
          </wp:inline>
        </w:drawing>
      </w:r>
    </w:p>
    <w:p w14:paraId="067136CA" w14:textId="77777777" w:rsidR="000247EF" w:rsidRPr="00580079" w:rsidRDefault="000247EF" w:rsidP="000247EF">
      <w:pPr>
        <w:spacing w:after="0" w:line="240" w:lineRule="auto"/>
        <w:ind w:firstLine="720"/>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458F20A0" w14:textId="515D25FB" w:rsidR="0079518F" w:rsidRDefault="00B05A0A" w:rsidP="003B3830">
      <w:pPr>
        <w:pStyle w:val="Default"/>
        <w:rPr>
          <w:sz w:val="22"/>
          <w:szCs w:val="22"/>
        </w:rPr>
      </w:pPr>
      <w:r>
        <w:rPr>
          <w:sz w:val="22"/>
          <w:szCs w:val="22"/>
        </w:rPr>
        <w:lastRenderedPageBreak/>
        <w:t>By</w:t>
      </w:r>
      <w:r w:rsidR="003B3830">
        <w:rPr>
          <w:sz w:val="22"/>
          <w:szCs w:val="22"/>
        </w:rPr>
        <w:t xml:space="preserve"> year’s end, economic data settled int</w:t>
      </w:r>
      <w:r w:rsidR="00305445">
        <w:rPr>
          <w:sz w:val="22"/>
          <w:szCs w:val="22"/>
        </w:rPr>
        <w:t xml:space="preserve">o </w:t>
      </w:r>
      <w:r>
        <w:rPr>
          <w:sz w:val="22"/>
          <w:szCs w:val="22"/>
        </w:rPr>
        <w:t xml:space="preserve">a </w:t>
      </w:r>
      <w:r w:rsidR="003B3830">
        <w:rPr>
          <w:sz w:val="22"/>
          <w:szCs w:val="22"/>
        </w:rPr>
        <w:t xml:space="preserve">more stable </w:t>
      </w:r>
      <w:r w:rsidR="002F1C9D">
        <w:rPr>
          <w:sz w:val="22"/>
          <w:szCs w:val="22"/>
        </w:rPr>
        <w:t xml:space="preserve">pattern </w:t>
      </w:r>
      <w:r w:rsidR="00255CBF">
        <w:rPr>
          <w:sz w:val="22"/>
          <w:szCs w:val="22"/>
        </w:rPr>
        <w:t xml:space="preserve">with personal income, consumer spending, hiring, and inflationary indicators all largely meeting consensus forecasts. Inflation particularly posted milder results than expected, which resulted in the Federal Reserve dialing back expectations for further Fed Funds rate cuts over the near term. The </w:t>
      </w:r>
      <w:r w:rsidR="00305445">
        <w:rPr>
          <w:sz w:val="22"/>
          <w:szCs w:val="22"/>
        </w:rPr>
        <w:t>1</w:t>
      </w:r>
      <w:r w:rsidR="00255CBF">
        <w:rPr>
          <w:sz w:val="22"/>
          <w:szCs w:val="22"/>
        </w:rPr>
        <w:t xml:space="preserve">0 Year Treasury Yield </w:t>
      </w:r>
      <w:r w:rsidR="000E6B68">
        <w:rPr>
          <w:sz w:val="22"/>
          <w:szCs w:val="22"/>
        </w:rPr>
        <w:t xml:space="preserve">finished the </w:t>
      </w:r>
      <w:r w:rsidR="00305445">
        <w:rPr>
          <w:sz w:val="22"/>
          <w:szCs w:val="22"/>
        </w:rPr>
        <w:t>fourth</w:t>
      </w:r>
      <w:r w:rsidR="000E6B68">
        <w:rPr>
          <w:sz w:val="22"/>
          <w:szCs w:val="22"/>
        </w:rPr>
        <w:t xml:space="preserve"> quarter almost precisely where it began at 4.17%. </w:t>
      </w:r>
    </w:p>
    <w:p w14:paraId="547A9DEF" w14:textId="77777777" w:rsidR="00305445" w:rsidRDefault="00305445" w:rsidP="003B3830">
      <w:pPr>
        <w:pStyle w:val="Default"/>
        <w:rPr>
          <w:sz w:val="22"/>
          <w:szCs w:val="22"/>
        </w:rPr>
      </w:pPr>
    </w:p>
    <w:p w14:paraId="31A8D928" w14:textId="48878EC4" w:rsidR="00305445" w:rsidRDefault="00305445" w:rsidP="003B3830">
      <w:pPr>
        <w:pStyle w:val="Default"/>
        <w:rPr>
          <w:sz w:val="22"/>
          <w:szCs w:val="22"/>
        </w:rPr>
      </w:pPr>
      <w:r>
        <w:rPr>
          <w:sz w:val="22"/>
          <w:szCs w:val="22"/>
        </w:rPr>
        <w:t xml:space="preserve">The total return for bond indices during 2025 </w:t>
      </w:r>
      <w:r w:rsidR="00BA5725">
        <w:rPr>
          <w:sz w:val="22"/>
          <w:szCs w:val="22"/>
        </w:rPr>
        <w:t xml:space="preserve">favored intermediate and longer-duration strategies, as those benefitted the most from the overall decline interest rate across the yield curve throughout the year.  </w:t>
      </w:r>
    </w:p>
    <w:p w14:paraId="616CB095" w14:textId="77777777" w:rsidR="00BA5725" w:rsidRDefault="00BA5725" w:rsidP="003B3830">
      <w:pPr>
        <w:pStyle w:val="Default"/>
        <w:rPr>
          <w:sz w:val="22"/>
          <w:szCs w:val="22"/>
        </w:rPr>
      </w:pPr>
    </w:p>
    <w:p w14:paraId="411D8904" w14:textId="4D74C3D2" w:rsidR="00BA5725" w:rsidRDefault="00BA5725" w:rsidP="00BA5725">
      <w:pPr>
        <w:pStyle w:val="Default"/>
        <w:jc w:val="center"/>
        <w:rPr>
          <w:sz w:val="22"/>
          <w:szCs w:val="22"/>
        </w:rPr>
      </w:pPr>
      <w:r>
        <w:rPr>
          <w:noProof/>
          <w:sz w:val="22"/>
          <w:szCs w:val="22"/>
        </w:rPr>
        <w:drawing>
          <wp:inline distT="0" distB="0" distL="0" distR="0" wp14:anchorId="62612824" wp14:editId="01604BE0">
            <wp:extent cx="5541747" cy="3084060"/>
            <wp:effectExtent l="0" t="0" r="1905" b="2540"/>
            <wp:docPr id="140235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8492" cy="3104509"/>
                    </a:xfrm>
                    <a:prstGeom prst="rect">
                      <a:avLst/>
                    </a:prstGeom>
                    <a:noFill/>
                  </pic:spPr>
                </pic:pic>
              </a:graphicData>
            </a:graphic>
          </wp:inline>
        </w:drawing>
      </w:r>
    </w:p>
    <w:p w14:paraId="4E7C4D5B" w14:textId="77777777" w:rsidR="000E6B68" w:rsidRDefault="000E6B68" w:rsidP="003B3830">
      <w:pPr>
        <w:pStyle w:val="Default"/>
        <w:rPr>
          <w:sz w:val="22"/>
          <w:szCs w:val="22"/>
        </w:rPr>
      </w:pPr>
    </w:p>
    <w:p w14:paraId="7FBC55AD" w14:textId="77777777" w:rsidR="00D60D87" w:rsidRPr="00580079" w:rsidRDefault="00D60D87" w:rsidP="00D60D87">
      <w:pPr>
        <w:spacing w:after="0" w:line="240" w:lineRule="auto"/>
        <w:ind w:firstLine="720"/>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32A6AD20" w14:textId="4260B208" w:rsidR="00A45D2A" w:rsidRPr="00080BB2" w:rsidRDefault="00340B7F" w:rsidP="00A33302">
      <w:pPr>
        <w:spacing w:after="0" w:line="240" w:lineRule="auto"/>
        <w:jc w:val="center"/>
        <w:rPr>
          <w:rFonts w:ascii="Times New Roman" w:hAnsi="Times New Roman" w:cs="Times New Roman"/>
          <w:b/>
          <w:bCs/>
          <w:sz w:val="20"/>
          <w:szCs w:val="20"/>
          <w:u w:val="single"/>
        </w:rPr>
      </w:pPr>
      <w:r w:rsidRPr="00080BB2">
        <w:rPr>
          <w:rFonts w:ascii="Times New Roman" w:hAnsi="Times New Roman" w:cs="Times New Roman"/>
          <w:b/>
          <w:bCs/>
          <w:u w:val="single"/>
        </w:rPr>
        <w:t>Lessons from the 202</w:t>
      </w:r>
      <w:r w:rsidR="00141D5C">
        <w:rPr>
          <w:rFonts w:ascii="Times New Roman" w:hAnsi="Times New Roman" w:cs="Times New Roman"/>
          <w:b/>
          <w:bCs/>
          <w:u w:val="single"/>
        </w:rPr>
        <w:t>5</w:t>
      </w:r>
      <w:r w:rsidRPr="00080BB2">
        <w:rPr>
          <w:rFonts w:ascii="Times New Roman" w:hAnsi="Times New Roman" w:cs="Times New Roman"/>
          <w:b/>
          <w:bCs/>
          <w:u w:val="single"/>
        </w:rPr>
        <w:t xml:space="preserve"> Market Year</w:t>
      </w:r>
    </w:p>
    <w:p w14:paraId="73D335F4" w14:textId="77777777" w:rsidR="00A45D2A" w:rsidRDefault="00A45D2A" w:rsidP="009B407C">
      <w:pPr>
        <w:pStyle w:val="Default"/>
        <w:rPr>
          <w:sz w:val="22"/>
          <w:szCs w:val="22"/>
        </w:rPr>
      </w:pPr>
    </w:p>
    <w:p w14:paraId="3D3F2E5D" w14:textId="4B361835" w:rsidR="00D60D87" w:rsidRDefault="00EE11E0" w:rsidP="009B407C">
      <w:pPr>
        <w:pStyle w:val="Default"/>
        <w:rPr>
          <w:sz w:val="22"/>
          <w:szCs w:val="22"/>
        </w:rPr>
      </w:pPr>
      <w:r>
        <w:rPr>
          <w:sz w:val="22"/>
          <w:szCs w:val="22"/>
        </w:rPr>
        <w:t>Every year</w:t>
      </w:r>
      <w:r w:rsidR="00380D87">
        <w:rPr>
          <w:sz w:val="22"/>
          <w:szCs w:val="22"/>
        </w:rPr>
        <w:t xml:space="preserve">, </w:t>
      </w:r>
      <w:r>
        <w:rPr>
          <w:sz w:val="22"/>
          <w:szCs w:val="22"/>
        </w:rPr>
        <w:t xml:space="preserve">Turtle Creek Trust </w:t>
      </w:r>
      <w:r w:rsidR="00246A1D">
        <w:rPr>
          <w:sz w:val="22"/>
          <w:szCs w:val="22"/>
        </w:rPr>
        <w:t>highlights</w:t>
      </w:r>
      <w:r>
        <w:rPr>
          <w:sz w:val="22"/>
          <w:szCs w:val="22"/>
        </w:rPr>
        <w:t xml:space="preserve"> data</w:t>
      </w:r>
      <w:r w:rsidR="00BC0C17">
        <w:rPr>
          <w:sz w:val="22"/>
          <w:szCs w:val="22"/>
        </w:rPr>
        <w:t>-</w:t>
      </w:r>
      <w:r>
        <w:rPr>
          <w:sz w:val="22"/>
          <w:szCs w:val="22"/>
        </w:rPr>
        <w:t xml:space="preserve">points </w:t>
      </w:r>
      <w:r w:rsidR="00BC0C17">
        <w:rPr>
          <w:sz w:val="22"/>
          <w:szCs w:val="22"/>
        </w:rPr>
        <w:t xml:space="preserve">that </w:t>
      </w:r>
      <w:r>
        <w:rPr>
          <w:sz w:val="22"/>
          <w:szCs w:val="22"/>
        </w:rPr>
        <w:t xml:space="preserve">underscore </w:t>
      </w:r>
      <w:r w:rsidR="00BC0C17">
        <w:rPr>
          <w:sz w:val="22"/>
          <w:szCs w:val="22"/>
        </w:rPr>
        <w:t>important investor lessons</w:t>
      </w:r>
      <w:r w:rsidR="00773305">
        <w:rPr>
          <w:sz w:val="22"/>
          <w:szCs w:val="22"/>
        </w:rPr>
        <w:t>, and th</w:t>
      </w:r>
      <w:r w:rsidR="00B05A0A">
        <w:rPr>
          <w:sz w:val="22"/>
          <w:szCs w:val="22"/>
        </w:rPr>
        <w:t xml:space="preserve">e clear choice </w:t>
      </w:r>
      <w:r w:rsidR="00895056">
        <w:rPr>
          <w:sz w:val="22"/>
          <w:szCs w:val="22"/>
        </w:rPr>
        <w:t xml:space="preserve">this year </w:t>
      </w:r>
      <w:r w:rsidR="005A17ED">
        <w:rPr>
          <w:sz w:val="22"/>
          <w:szCs w:val="22"/>
        </w:rPr>
        <w:t xml:space="preserve">is </w:t>
      </w:r>
      <w:r w:rsidR="00B05A0A">
        <w:rPr>
          <w:sz w:val="22"/>
          <w:szCs w:val="22"/>
        </w:rPr>
        <w:t xml:space="preserve">the </w:t>
      </w:r>
      <w:r w:rsidR="00895056">
        <w:rPr>
          <w:sz w:val="22"/>
          <w:szCs w:val="22"/>
        </w:rPr>
        <w:t xml:space="preserve">importance of portfolio </w:t>
      </w:r>
      <w:r w:rsidR="00B05A0A">
        <w:rPr>
          <w:sz w:val="22"/>
          <w:szCs w:val="22"/>
        </w:rPr>
        <w:t>diversification</w:t>
      </w:r>
      <w:r w:rsidR="00895056">
        <w:rPr>
          <w:sz w:val="22"/>
          <w:szCs w:val="22"/>
        </w:rPr>
        <w:t xml:space="preserve">. Diversification </w:t>
      </w:r>
      <w:r w:rsidR="00BC0C17">
        <w:rPr>
          <w:sz w:val="22"/>
          <w:szCs w:val="22"/>
        </w:rPr>
        <w:t>has become a</w:t>
      </w:r>
      <w:r w:rsidR="00895056">
        <w:rPr>
          <w:sz w:val="22"/>
          <w:szCs w:val="22"/>
        </w:rPr>
        <w:t>lmost a</w:t>
      </w:r>
      <w:r w:rsidR="00BC0C17">
        <w:rPr>
          <w:sz w:val="22"/>
          <w:szCs w:val="22"/>
        </w:rPr>
        <w:t xml:space="preserve"> dirty word over the last</w:t>
      </w:r>
      <w:r w:rsidR="005A17ED">
        <w:rPr>
          <w:sz w:val="22"/>
          <w:szCs w:val="22"/>
        </w:rPr>
        <w:t xml:space="preserve"> 10 years</w:t>
      </w:r>
      <w:r w:rsidR="00BC0C17">
        <w:rPr>
          <w:sz w:val="22"/>
          <w:szCs w:val="22"/>
        </w:rPr>
        <w:t>, as o</w:t>
      </w:r>
      <w:r w:rsidR="005A17ED">
        <w:rPr>
          <w:sz w:val="22"/>
          <w:szCs w:val="22"/>
        </w:rPr>
        <w:t>wnership of anything other than large cap growth and momentum stocks limit</w:t>
      </w:r>
      <w:r w:rsidR="00246A1D">
        <w:rPr>
          <w:sz w:val="22"/>
          <w:szCs w:val="22"/>
        </w:rPr>
        <w:t>ed</w:t>
      </w:r>
      <w:r w:rsidR="005A17ED">
        <w:rPr>
          <w:sz w:val="22"/>
          <w:szCs w:val="22"/>
        </w:rPr>
        <w:t xml:space="preserve"> equity returns while </w:t>
      </w:r>
      <w:r w:rsidR="00246A1D">
        <w:rPr>
          <w:sz w:val="22"/>
          <w:szCs w:val="22"/>
        </w:rPr>
        <w:t xml:space="preserve">theoretically stable, </w:t>
      </w:r>
      <w:r w:rsidR="005A17ED">
        <w:rPr>
          <w:sz w:val="22"/>
          <w:szCs w:val="22"/>
        </w:rPr>
        <w:t xml:space="preserve">defensive asset classes such as fixed income actually </w:t>
      </w:r>
      <w:r w:rsidR="00246A1D">
        <w:rPr>
          <w:sz w:val="22"/>
          <w:szCs w:val="22"/>
        </w:rPr>
        <w:t xml:space="preserve">amplified portfolio </w:t>
      </w:r>
      <w:r w:rsidR="005A17ED">
        <w:rPr>
          <w:sz w:val="22"/>
          <w:szCs w:val="22"/>
        </w:rPr>
        <w:t xml:space="preserve">volatility during the </w:t>
      </w:r>
      <w:r w:rsidR="00246A1D">
        <w:rPr>
          <w:sz w:val="22"/>
          <w:szCs w:val="22"/>
        </w:rPr>
        <w:t xml:space="preserve">interest </w:t>
      </w:r>
      <w:r w:rsidR="005A17ED">
        <w:rPr>
          <w:sz w:val="22"/>
          <w:szCs w:val="22"/>
        </w:rPr>
        <w:t>rate spike of 2021.</w:t>
      </w:r>
      <w:r w:rsidR="001F246A">
        <w:rPr>
          <w:sz w:val="22"/>
          <w:szCs w:val="22"/>
        </w:rPr>
        <w:t xml:space="preserve"> </w:t>
      </w:r>
    </w:p>
    <w:p w14:paraId="790528CA" w14:textId="77777777" w:rsidR="00D60D87" w:rsidRDefault="00D60D87" w:rsidP="009B407C">
      <w:pPr>
        <w:pStyle w:val="Default"/>
        <w:rPr>
          <w:sz w:val="22"/>
          <w:szCs w:val="22"/>
        </w:rPr>
      </w:pPr>
    </w:p>
    <w:p w14:paraId="5DCC5695" w14:textId="258DD2D5" w:rsidR="001F246A" w:rsidRDefault="003D4AC0" w:rsidP="009B407C">
      <w:pPr>
        <w:pStyle w:val="Default"/>
        <w:rPr>
          <w:sz w:val="22"/>
          <w:szCs w:val="22"/>
        </w:rPr>
      </w:pPr>
      <w:r>
        <w:rPr>
          <w:sz w:val="22"/>
          <w:szCs w:val="22"/>
        </w:rPr>
        <w:t>Diversification</w:t>
      </w:r>
      <w:r w:rsidR="00895056">
        <w:rPr>
          <w:sz w:val="22"/>
          <w:szCs w:val="22"/>
        </w:rPr>
        <w:t xml:space="preserve"> is a frustrating concept for investors </w:t>
      </w:r>
      <w:r>
        <w:rPr>
          <w:sz w:val="22"/>
          <w:szCs w:val="22"/>
        </w:rPr>
        <w:t xml:space="preserve">due to its unpredictable </w:t>
      </w:r>
      <w:r w:rsidR="00895056">
        <w:rPr>
          <w:sz w:val="22"/>
          <w:szCs w:val="22"/>
        </w:rPr>
        <w:t>timing, frequency, and ease of implementation.  Its</w:t>
      </w:r>
      <w:r w:rsidR="001F246A">
        <w:rPr>
          <w:sz w:val="22"/>
          <w:szCs w:val="22"/>
        </w:rPr>
        <w:t xml:space="preserve"> benefits </w:t>
      </w:r>
      <w:r w:rsidR="00895056">
        <w:rPr>
          <w:sz w:val="22"/>
          <w:szCs w:val="22"/>
        </w:rPr>
        <w:t>a</w:t>
      </w:r>
      <w:r w:rsidR="001F246A">
        <w:rPr>
          <w:sz w:val="22"/>
          <w:szCs w:val="22"/>
        </w:rPr>
        <w:t>re calculated over</w:t>
      </w:r>
      <w:r w:rsidR="00BC0C17">
        <w:rPr>
          <w:sz w:val="22"/>
          <w:szCs w:val="22"/>
        </w:rPr>
        <w:t xml:space="preserve"> multiple </w:t>
      </w:r>
      <w:r w:rsidR="001F246A">
        <w:rPr>
          <w:sz w:val="22"/>
          <w:szCs w:val="22"/>
        </w:rPr>
        <w:t xml:space="preserve">decades while investors </w:t>
      </w:r>
      <w:r w:rsidR="00246A1D">
        <w:rPr>
          <w:sz w:val="22"/>
          <w:szCs w:val="22"/>
        </w:rPr>
        <w:t xml:space="preserve">are still frustratingly prone to </w:t>
      </w:r>
      <w:r w:rsidR="001F246A">
        <w:rPr>
          <w:sz w:val="22"/>
          <w:szCs w:val="22"/>
        </w:rPr>
        <w:t>measur</w:t>
      </w:r>
      <w:r w:rsidR="00246A1D">
        <w:rPr>
          <w:sz w:val="22"/>
          <w:szCs w:val="22"/>
        </w:rPr>
        <w:t xml:space="preserve">ing </w:t>
      </w:r>
      <w:r w:rsidR="00BC0C17">
        <w:rPr>
          <w:sz w:val="22"/>
          <w:szCs w:val="22"/>
        </w:rPr>
        <w:t xml:space="preserve">its </w:t>
      </w:r>
      <w:r w:rsidR="001F246A">
        <w:rPr>
          <w:sz w:val="22"/>
          <w:szCs w:val="22"/>
        </w:rPr>
        <w:t xml:space="preserve">benefit over a handful of years. </w:t>
      </w:r>
      <w:r w:rsidR="00246A1D">
        <w:rPr>
          <w:sz w:val="22"/>
          <w:szCs w:val="22"/>
        </w:rPr>
        <w:t xml:space="preserve">The </w:t>
      </w:r>
      <w:r w:rsidR="001F246A">
        <w:rPr>
          <w:sz w:val="22"/>
          <w:szCs w:val="22"/>
        </w:rPr>
        <w:t xml:space="preserve">benefits </w:t>
      </w:r>
      <w:r w:rsidR="00246A1D">
        <w:rPr>
          <w:sz w:val="22"/>
          <w:szCs w:val="22"/>
        </w:rPr>
        <w:t xml:space="preserve">of diversification </w:t>
      </w:r>
      <w:r w:rsidR="001F246A">
        <w:rPr>
          <w:sz w:val="22"/>
          <w:szCs w:val="22"/>
        </w:rPr>
        <w:t>asse</w:t>
      </w:r>
      <w:r w:rsidR="00246A1D">
        <w:rPr>
          <w:sz w:val="22"/>
          <w:szCs w:val="22"/>
        </w:rPr>
        <w:t>r</w:t>
      </w:r>
      <w:r w:rsidR="001F246A">
        <w:rPr>
          <w:sz w:val="22"/>
          <w:szCs w:val="22"/>
        </w:rPr>
        <w:t xml:space="preserve">t themselves quickly in brief periods of </w:t>
      </w:r>
      <w:r w:rsidR="00246A1D">
        <w:rPr>
          <w:sz w:val="22"/>
          <w:szCs w:val="22"/>
        </w:rPr>
        <w:t>powerful</w:t>
      </w:r>
      <w:r w:rsidR="001F246A">
        <w:rPr>
          <w:sz w:val="22"/>
          <w:szCs w:val="22"/>
        </w:rPr>
        <w:t xml:space="preserve"> outperformance. </w:t>
      </w:r>
      <w:r w:rsidR="00246A1D">
        <w:rPr>
          <w:sz w:val="22"/>
          <w:szCs w:val="22"/>
        </w:rPr>
        <w:t xml:space="preserve">Most importantly, there is no clear way to predict when or why </w:t>
      </w:r>
      <w:r>
        <w:rPr>
          <w:sz w:val="22"/>
          <w:szCs w:val="22"/>
        </w:rPr>
        <w:t>its</w:t>
      </w:r>
      <w:r w:rsidR="00246A1D">
        <w:rPr>
          <w:sz w:val="22"/>
          <w:szCs w:val="22"/>
        </w:rPr>
        <w:t xml:space="preserve"> benefits might appear. Legions of alternate investment platforms and tactical asset allocation firms try in vain to quickly shift portfolio holdings to capture these benefits</w:t>
      </w:r>
      <w:r w:rsidR="00D60D87">
        <w:rPr>
          <w:sz w:val="22"/>
          <w:szCs w:val="22"/>
        </w:rPr>
        <w:t>. N</w:t>
      </w:r>
      <w:r w:rsidR="00246A1D">
        <w:rPr>
          <w:sz w:val="22"/>
          <w:szCs w:val="22"/>
        </w:rPr>
        <w:t xml:space="preserve">one </w:t>
      </w:r>
      <w:r>
        <w:rPr>
          <w:sz w:val="22"/>
          <w:szCs w:val="22"/>
        </w:rPr>
        <w:t>has</w:t>
      </w:r>
      <w:r w:rsidR="00246A1D">
        <w:rPr>
          <w:sz w:val="22"/>
          <w:szCs w:val="22"/>
        </w:rPr>
        <w:t xml:space="preserve"> shown consistent skill</w:t>
      </w:r>
      <w:r w:rsidR="00D60D87">
        <w:rPr>
          <w:sz w:val="22"/>
          <w:szCs w:val="22"/>
        </w:rPr>
        <w:t xml:space="preserve">, </w:t>
      </w:r>
      <w:r w:rsidR="00773305">
        <w:rPr>
          <w:sz w:val="22"/>
          <w:szCs w:val="22"/>
        </w:rPr>
        <w:t>a</w:t>
      </w:r>
      <w:r w:rsidR="00D60D87">
        <w:rPr>
          <w:sz w:val="22"/>
          <w:szCs w:val="22"/>
        </w:rPr>
        <w:t xml:space="preserve"> core reason Turtle Creek Trust emphasize</w:t>
      </w:r>
      <w:r>
        <w:rPr>
          <w:sz w:val="22"/>
          <w:szCs w:val="22"/>
        </w:rPr>
        <w:t>s</w:t>
      </w:r>
      <w:r w:rsidR="00D60D87">
        <w:rPr>
          <w:sz w:val="22"/>
          <w:szCs w:val="22"/>
        </w:rPr>
        <w:t xml:space="preserve"> strategic rather than tactical allocation. </w:t>
      </w:r>
      <w:r w:rsidR="00246A1D">
        <w:rPr>
          <w:sz w:val="22"/>
          <w:szCs w:val="22"/>
        </w:rPr>
        <w:t xml:space="preserve"> </w:t>
      </w:r>
    </w:p>
    <w:p w14:paraId="42BEA576" w14:textId="77777777" w:rsidR="00246A1D" w:rsidRDefault="00246A1D" w:rsidP="009B407C">
      <w:pPr>
        <w:pStyle w:val="Default"/>
        <w:rPr>
          <w:sz w:val="22"/>
          <w:szCs w:val="22"/>
        </w:rPr>
      </w:pPr>
    </w:p>
    <w:p w14:paraId="3D3E0577" w14:textId="3ED911D9" w:rsidR="00246A1D" w:rsidRDefault="00D60D87" w:rsidP="009B407C">
      <w:pPr>
        <w:pStyle w:val="Default"/>
        <w:rPr>
          <w:sz w:val="22"/>
          <w:szCs w:val="22"/>
        </w:rPr>
      </w:pPr>
      <w:r>
        <w:rPr>
          <w:sz w:val="22"/>
          <w:szCs w:val="22"/>
        </w:rPr>
        <w:t>All of the</w:t>
      </w:r>
      <w:r w:rsidR="00BC0C17">
        <w:rPr>
          <w:sz w:val="22"/>
          <w:szCs w:val="22"/>
        </w:rPr>
        <w:t xml:space="preserve">se facts were </w:t>
      </w:r>
      <w:r>
        <w:rPr>
          <w:sz w:val="22"/>
          <w:szCs w:val="22"/>
        </w:rPr>
        <w:t xml:space="preserve">on display in </w:t>
      </w:r>
      <w:r w:rsidR="00246A1D">
        <w:rPr>
          <w:sz w:val="22"/>
          <w:szCs w:val="22"/>
        </w:rPr>
        <w:t xml:space="preserve">2025. </w:t>
      </w:r>
      <w:r w:rsidR="00BC0C17">
        <w:rPr>
          <w:sz w:val="22"/>
          <w:szCs w:val="22"/>
        </w:rPr>
        <w:t xml:space="preserve">Investors </w:t>
      </w:r>
      <w:r w:rsidR="003D4AC0">
        <w:rPr>
          <w:sz w:val="22"/>
          <w:szCs w:val="22"/>
        </w:rPr>
        <w:t>who</w:t>
      </w:r>
      <w:r w:rsidR="00BC0C17">
        <w:rPr>
          <w:sz w:val="22"/>
          <w:szCs w:val="22"/>
        </w:rPr>
        <w:t xml:space="preserve"> increasingly bemoaned their underperforming international allocations benefited</w:t>
      </w:r>
      <w:r w:rsidR="003D4AC0">
        <w:rPr>
          <w:sz w:val="22"/>
          <w:szCs w:val="22"/>
        </w:rPr>
        <w:t xml:space="preserve"> </w:t>
      </w:r>
      <w:r w:rsidR="00BC0C17">
        <w:rPr>
          <w:sz w:val="22"/>
          <w:szCs w:val="22"/>
        </w:rPr>
        <w:t xml:space="preserve">greatly </w:t>
      </w:r>
      <w:r w:rsidR="003D4AC0">
        <w:rPr>
          <w:sz w:val="22"/>
          <w:szCs w:val="22"/>
        </w:rPr>
        <w:t>from them</w:t>
      </w:r>
      <w:r w:rsidR="003D4AC0">
        <w:rPr>
          <w:sz w:val="22"/>
          <w:szCs w:val="22"/>
        </w:rPr>
        <w:t xml:space="preserve"> </w:t>
      </w:r>
      <w:r w:rsidR="00BC0C17">
        <w:rPr>
          <w:sz w:val="22"/>
          <w:szCs w:val="22"/>
        </w:rPr>
        <w:t xml:space="preserve">during the year. Diversified portfolios exhibited superior risk </w:t>
      </w:r>
      <w:r w:rsidR="00B119A6">
        <w:rPr>
          <w:sz w:val="22"/>
          <w:szCs w:val="22"/>
        </w:rPr>
        <w:t>adjusted</w:t>
      </w:r>
      <w:r w:rsidR="00BC0C17">
        <w:rPr>
          <w:sz w:val="22"/>
          <w:szCs w:val="22"/>
        </w:rPr>
        <w:t xml:space="preserve"> returns </w:t>
      </w:r>
      <w:r w:rsidR="00B119A6">
        <w:rPr>
          <w:sz w:val="22"/>
          <w:szCs w:val="22"/>
        </w:rPr>
        <w:t xml:space="preserve">most acutely during the market sell-off of February. </w:t>
      </w:r>
      <w:r w:rsidR="00BC0C17">
        <w:rPr>
          <w:sz w:val="22"/>
          <w:szCs w:val="22"/>
        </w:rPr>
        <w:t xml:space="preserve"> </w:t>
      </w:r>
      <w:r w:rsidR="003D4AC0">
        <w:rPr>
          <w:sz w:val="22"/>
          <w:szCs w:val="22"/>
        </w:rPr>
        <w:t>Regarding implementation, m</w:t>
      </w:r>
      <w:r w:rsidR="00BC0C17">
        <w:rPr>
          <w:sz w:val="22"/>
          <w:szCs w:val="22"/>
        </w:rPr>
        <w:t xml:space="preserve">ost market analysts </w:t>
      </w:r>
      <w:r w:rsidR="00246A1D">
        <w:rPr>
          <w:sz w:val="22"/>
          <w:szCs w:val="22"/>
        </w:rPr>
        <w:t xml:space="preserve">are still attempting to explain the significant outperformance of international stocks </w:t>
      </w:r>
      <w:r w:rsidR="003D4AC0">
        <w:rPr>
          <w:sz w:val="22"/>
          <w:szCs w:val="22"/>
        </w:rPr>
        <w:t>a</w:t>
      </w:r>
      <w:r w:rsidR="00246A1D">
        <w:rPr>
          <w:sz w:val="22"/>
          <w:szCs w:val="22"/>
        </w:rPr>
        <w:t>midst a backdrop of heightened geo-political turmoil</w:t>
      </w:r>
      <w:r>
        <w:rPr>
          <w:sz w:val="22"/>
          <w:szCs w:val="22"/>
        </w:rPr>
        <w:t xml:space="preserve">. Finally, diversified portfolios </w:t>
      </w:r>
      <w:r w:rsidR="00B119A6">
        <w:rPr>
          <w:sz w:val="22"/>
          <w:szCs w:val="22"/>
        </w:rPr>
        <w:t xml:space="preserve">sometimes </w:t>
      </w:r>
      <w:r>
        <w:rPr>
          <w:sz w:val="22"/>
          <w:szCs w:val="22"/>
        </w:rPr>
        <w:t xml:space="preserve">work in harmony as they did this year, providing </w:t>
      </w:r>
      <w:r w:rsidR="00B119A6">
        <w:rPr>
          <w:sz w:val="22"/>
          <w:szCs w:val="22"/>
        </w:rPr>
        <w:t>investors with</w:t>
      </w:r>
      <w:r>
        <w:rPr>
          <w:sz w:val="22"/>
          <w:szCs w:val="22"/>
        </w:rPr>
        <w:t xml:space="preserve"> the best of both worlds. </w:t>
      </w:r>
    </w:p>
    <w:p w14:paraId="68D045E7" w14:textId="77777777" w:rsidR="00BC0C17" w:rsidRDefault="00BC0C17" w:rsidP="009B407C">
      <w:pPr>
        <w:pStyle w:val="Default"/>
        <w:rPr>
          <w:sz w:val="22"/>
          <w:szCs w:val="22"/>
        </w:rPr>
      </w:pPr>
    </w:p>
    <w:p w14:paraId="793629FE" w14:textId="487E0BB6" w:rsidR="008D4D65" w:rsidRDefault="008D4D65" w:rsidP="00080BB2">
      <w:pPr>
        <w:pStyle w:val="Default"/>
        <w:jc w:val="center"/>
        <w:rPr>
          <w:b/>
          <w:bCs/>
          <w:sz w:val="22"/>
          <w:szCs w:val="22"/>
          <w:u w:val="single"/>
        </w:rPr>
      </w:pPr>
      <w:r>
        <w:rPr>
          <w:b/>
          <w:bCs/>
          <w:sz w:val="22"/>
          <w:szCs w:val="22"/>
          <w:u w:val="single"/>
        </w:rPr>
        <w:lastRenderedPageBreak/>
        <w:t>Investment Strategy</w:t>
      </w:r>
    </w:p>
    <w:p w14:paraId="6251F3E7" w14:textId="77777777" w:rsidR="008D4D65" w:rsidRDefault="008D4D65" w:rsidP="008D4D65">
      <w:pPr>
        <w:pStyle w:val="Default"/>
        <w:jc w:val="center"/>
        <w:rPr>
          <w:b/>
          <w:bCs/>
          <w:sz w:val="22"/>
          <w:szCs w:val="22"/>
          <w:u w:val="single"/>
        </w:rPr>
      </w:pPr>
    </w:p>
    <w:p w14:paraId="3E446E04" w14:textId="1589DE02" w:rsidR="00B119A6" w:rsidRDefault="00773305" w:rsidP="00B119A6">
      <w:pPr>
        <w:pStyle w:val="Default"/>
        <w:rPr>
          <w:sz w:val="22"/>
          <w:szCs w:val="22"/>
        </w:rPr>
      </w:pPr>
      <w:r>
        <w:rPr>
          <w:sz w:val="22"/>
          <w:szCs w:val="22"/>
        </w:rPr>
        <w:t>Looking forward to 2026, Turtle Creek Trust acknowledges t</w:t>
      </w:r>
      <w:r w:rsidR="00144E2F">
        <w:rPr>
          <w:sz w:val="22"/>
          <w:szCs w:val="22"/>
        </w:rPr>
        <w:t>he current momentum on display in the global economy while</w:t>
      </w:r>
      <w:r w:rsidR="00741C90">
        <w:rPr>
          <w:sz w:val="22"/>
          <w:szCs w:val="22"/>
        </w:rPr>
        <w:t xml:space="preserve"> once again</w:t>
      </w:r>
      <w:r w:rsidR="00144E2F">
        <w:rPr>
          <w:sz w:val="22"/>
          <w:szCs w:val="22"/>
        </w:rPr>
        <w:t xml:space="preserve"> </w:t>
      </w:r>
      <w:r w:rsidR="00741C90">
        <w:rPr>
          <w:sz w:val="22"/>
          <w:szCs w:val="22"/>
        </w:rPr>
        <w:t>reiterating</w:t>
      </w:r>
      <w:r w:rsidR="00144E2F">
        <w:rPr>
          <w:sz w:val="22"/>
          <w:szCs w:val="22"/>
        </w:rPr>
        <w:t xml:space="preserve"> the many near-term risks to your investment assets. </w:t>
      </w:r>
    </w:p>
    <w:p w14:paraId="6588F377" w14:textId="77777777" w:rsidR="00144E2F" w:rsidRDefault="00144E2F" w:rsidP="00B119A6">
      <w:pPr>
        <w:pStyle w:val="Default"/>
        <w:rPr>
          <w:sz w:val="22"/>
          <w:szCs w:val="22"/>
        </w:rPr>
      </w:pPr>
    </w:p>
    <w:p w14:paraId="25D4AE6D" w14:textId="288E7964" w:rsidR="00144E2F" w:rsidRDefault="00F35A60" w:rsidP="00B119A6">
      <w:pPr>
        <w:pStyle w:val="Default"/>
        <w:rPr>
          <w:sz w:val="22"/>
          <w:szCs w:val="22"/>
        </w:rPr>
      </w:pPr>
      <w:r>
        <w:rPr>
          <w:sz w:val="22"/>
          <w:szCs w:val="22"/>
        </w:rPr>
        <w:t xml:space="preserve">Market analysts, according to the numbers, are very optimistic about the </w:t>
      </w:r>
      <w:r w:rsidR="00984727">
        <w:rPr>
          <w:sz w:val="22"/>
          <w:szCs w:val="22"/>
        </w:rPr>
        <w:t>future</w:t>
      </w:r>
      <w:r>
        <w:rPr>
          <w:sz w:val="22"/>
          <w:szCs w:val="22"/>
        </w:rPr>
        <w:t xml:space="preserve">. S&amp;P 500 earnings are currently projected to </w:t>
      </w:r>
      <w:r w:rsidR="00984727">
        <w:rPr>
          <w:sz w:val="22"/>
          <w:szCs w:val="22"/>
        </w:rPr>
        <w:t xml:space="preserve">expand at a 13.7% annualized pace </w:t>
      </w:r>
      <w:r w:rsidR="00A90324">
        <w:rPr>
          <w:sz w:val="22"/>
          <w:szCs w:val="22"/>
        </w:rPr>
        <w:t>over</w:t>
      </w:r>
      <w:r w:rsidR="00984727">
        <w:rPr>
          <w:sz w:val="22"/>
          <w:szCs w:val="22"/>
        </w:rPr>
        <w:t xml:space="preserve"> the next three years</w:t>
      </w:r>
      <w:r w:rsidR="00A90324">
        <w:rPr>
          <w:sz w:val="22"/>
          <w:szCs w:val="22"/>
        </w:rPr>
        <w:t xml:space="preserve">. </w:t>
      </w:r>
      <w:r w:rsidR="00263FEC">
        <w:rPr>
          <w:sz w:val="22"/>
          <w:szCs w:val="22"/>
        </w:rPr>
        <w:t xml:space="preserve">Wall Street </w:t>
      </w:r>
      <w:r w:rsidR="00864088">
        <w:rPr>
          <w:sz w:val="22"/>
          <w:szCs w:val="22"/>
        </w:rPr>
        <w:t>s</w:t>
      </w:r>
      <w:r w:rsidR="00263FEC">
        <w:rPr>
          <w:sz w:val="22"/>
          <w:szCs w:val="22"/>
        </w:rPr>
        <w:t>trategists on average predict the index to finish at 7,555</w:t>
      </w:r>
      <w:r w:rsidR="00A90324">
        <w:rPr>
          <w:sz w:val="22"/>
          <w:szCs w:val="22"/>
        </w:rPr>
        <w:t xml:space="preserve"> by year end 2026</w:t>
      </w:r>
      <w:r w:rsidR="00263FEC">
        <w:rPr>
          <w:sz w:val="22"/>
          <w:szCs w:val="22"/>
        </w:rPr>
        <w:t xml:space="preserve">, implying a 10% gain from </w:t>
      </w:r>
      <w:r w:rsidR="00A90324">
        <w:rPr>
          <w:sz w:val="22"/>
          <w:szCs w:val="22"/>
        </w:rPr>
        <w:t>its</w:t>
      </w:r>
      <w:r w:rsidR="00263FEC">
        <w:rPr>
          <w:sz w:val="22"/>
          <w:szCs w:val="22"/>
        </w:rPr>
        <w:t xml:space="preserve"> recent year end close. </w:t>
      </w:r>
      <w:r w:rsidR="00A90324">
        <w:rPr>
          <w:sz w:val="22"/>
          <w:szCs w:val="22"/>
        </w:rPr>
        <w:t xml:space="preserve">Rates forecasters have similarly optimistic outlooks, predicting another round of Fed rate cuts </w:t>
      </w:r>
      <w:r w:rsidR="00F01C9C">
        <w:rPr>
          <w:sz w:val="22"/>
          <w:szCs w:val="22"/>
        </w:rPr>
        <w:t xml:space="preserve">in </w:t>
      </w:r>
      <w:r w:rsidR="00A90324">
        <w:rPr>
          <w:sz w:val="22"/>
          <w:szCs w:val="22"/>
        </w:rPr>
        <w:t xml:space="preserve">the upcoming year </w:t>
      </w:r>
      <w:r w:rsidR="00864088">
        <w:rPr>
          <w:sz w:val="22"/>
          <w:szCs w:val="22"/>
        </w:rPr>
        <w:t xml:space="preserve">while </w:t>
      </w:r>
      <w:r w:rsidR="00F01C9C">
        <w:rPr>
          <w:sz w:val="22"/>
          <w:szCs w:val="22"/>
        </w:rPr>
        <w:t xml:space="preserve">projecting </w:t>
      </w:r>
      <w:r w:rsidR="00864088">
        <w:rPr>
          <w:sz w:val="22"/>
          <w:szCs w:val="22"/>
        </w:rPr>
        <w:t xml:space="preserve">longer rates </w:t>
      </w:r>
      <w:r w:rsidR="00F01C9C">
        <w:rPr>
          <w:sz w:val="22"/>
          <w:szCs w:val="22"/>
        </w:rPr>
        <w:t>to st</w:t>
      </w:r>
      <w:r w:rsidR="00864088">
        <w:rPr>
          <w:sz w:val="22"/>
          <w:szCs w:val="22"/>
        </w:rPr>
        <w:t xml:space="preserve">ay steady over the next few years. Should this come to pass, investors will continue to enjoy the best of both investment worlds for the foreseeable future. </w:t>
      </w:r>
    </w:p>
    <w:p w14:paraId="280DA7FE" w14:textId="77777777" w:rsidR="00864088" w:rsidRDefault="00864088" w:rsidP="00B119A6">
      <w:pPr>
        <w:pStyle w:val="Default"/>
        <w:rPr>
          <w:sz w:val="22"/>
          <w:szCs w:val="22"/>
        </w:rPr>
      </w:pPr>
    </w:p>
    <w:p w14:paraId="4AB8CC7A" w14:textId="5A82ACD3" w:rsidR="00DD72DF" w:rsidRDefault="00864088" w:rsidP="00B119A6">
      <w:pPr>
        <w:pStyle w:val="Default"/>
        <w:rPr>
          <w:sz w:val="22"/>
          <w:szCs w:val="22"/>
        </w:rPr>
      </w:pPr>
      <w:r>
        <w:rPr>
          <w:sz w:val="22"/>
          <w:szCs w:val="22"/>
        </w:rPr>
        <w:t>But understanding such forecasts are often incorrect, we do wonder what lurking risks could derail this potentially wonderful outcome. To paraphrase</w:t>
      </w:r>
      <w:r w:rsidR="00E17B80">
        <w:rPr>
          <w:sz w:val="22"/>
          <w:szCs w:val="22"/>
        </w:rPr>
        <w:t xml:space="preserve"> Franklin Delano Roosevelt, the only fear is </w:t>
      </w:r>
      <w:r w:rsidR="00DD72DF">
        <w:rPr>
          <w:sz w:val="22"/>
          <w:szCs w:val="22"/>
        </w:rPr>
        <w:t xml:space="preserve">usually </w:t>
      </w:r>
      <w:r w:rsidR="00E17B80">
        <w:rPr>
          <w:sz w:val="22"/>
          <w:szCs w:val="22"/>
        </w:rPr>
        <w:t xml:space="preserve">lack of fear itself. Market sentiment is buoyant at the moment, as displayed by the ongoing elevated valuation multiples in broad market indices. </w:t>
      </w:r>
      <w:r w:rsidR="00DD72DF">
        <w:rPr>
          <w:sz w:val="22"/>
          <w:szCs w:val="22"/>
        </w:rPr>
        <w:t>The S</w:t>
      </w:r>
      <w:r w:rsidR="00E17B80">
        <w:rPr>
          <w:sz w:val="22"/>
          <w:szCs w:val="22"/>
        </w:rPr>
        <w:t xml:space="preserve">&amp;P is trading at 25x </w:t>
      </w:r>
      <w:r w:rsidR="00DD72DF">
        <w:rPr>
          <w:sz w:val="22"/>
          <w:szCs w:val="22"/>
        </w:rPr>
        <w:t xml:space="preserve">its forward EPS estimate. </w:t>
      </w:r>
    </w:p>
    <w:p w14:paraId="648C80C2" w14:textId="77777777" w:rsidR="00DD72DF" w:rsidRDefault="00DD72DF" w:rsidP="00B119A6">
      <w:pPr>
        <w:pStyle w:val="Default"/>
        <w:rPr>
          <w:sz w:val="22"/>
          <w:szCs w:val="22"/>
        </w:rPr>
      </w:pPr>
    </w:p>
    <w:p w14:paraId="677A9D67" w14:textId="77777777" w:rsidR="00C2565C" w:rsidRDefault="00DD72DF" w:rsidP="00C2565C">
      <w:pPr>
        <w:pStyle w:val="Default"/>
        <w:jc w:val="center"/>
        <w:rPr>
          <w:i/>
          <w:iCs/>
          <w:sz w:val="20"/>
          <w:szCs w:val="20"/>
        </w:rPr>
      </w:pPr>
      <w:r>
        <w:rPr>
          <w:noProof/>
          <w:sz w:val="22"/>
          <w:szCs w:val="22"/>
        </w:rPr>
        <w:drawing>
          <wp:inline distT="0" distB="0" distL="0" distR="0" wp14:anchorId="644DD5FE" wp14:editId="473CAFB7">
            <wp:extent cx="5218430" cy="3597790"/>
            <wp:effectExtent l="0" t="0" r="1270" b="3175"/>
            <wp:docPr id="999356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4084" cy="3615477"/>
                    </a:xfrm>
                    <a:prstGeom prst="rect">
                      <a:avLst/>
                    </a:prstGeom>
                    <a:noFill/>
                  </pic:spPr>
                </pic:pic>
              </a:graphicData>
            </a:graphic>
          </wp:inline>
        </w:drawing>
      </w:r>
    </w:p>
    <w:p w14:paraId="70B5B93A" w14:textId="20D6B215" w:rsidR="00F850B3" w:rsidRPr="00C2565C" w:rsidRDefault="00F850B3" w:rsidP="00C2565C">
      <w:pPr>
        <w:pStyle w:val="Default"/>
        <w:ind w:firstLine="720"/>
        <w:rPr>
          <w:sz w:val="22"/>
          <w:szCs w:val="22"/>
        </w:rPr>
      </w:pPr>
      <w:r w:rsidRPr="00580079">
        <w:rPr>
          <w:i/>
          <w:iCs/>
          <w:sz w:val="20"/>
          <w:szCs w:val="20"/>
        </w:rPr>
        <w:t>Source: Bloomberg</w:t>
      </w:r>
    </w:p>
    <w:p w14:paraId="6B9A4330" w14:textId="77777777" w:rsidR="00F850B3" w:rsidRDefault="00F850B3" w:rsidP="009C7472">
      <w:pPr>
        <w:pStyle w:val="Default"/>
        <w:rPr>
          <w:sz w:val="22"/>
          <w:szCs w:val="22"/>
        </w:rPr>
      </w:pPr>
    </w:p>
    <w:p w14:paraId="6D7392D9" w14:textId="77777777" w:rsidR="009C1FEC" w:rsidRDefault="009C1FEC" w:rsidP="009C7472">
      <w:pPr>
        <w:pStyle w:val="Default"/>
        <w:rPr>
          <w:sz w:val="22"/>
          <w:szCs w:val="22"/>
        </w:rPr>
      </w:pPr>
    </w:p>
    <w:p w14:paraId="6CFCBCAB" w14:textId="5F8A9AEC" w:rsidR="009C1FEC" w:rsidRDefault="00C2565C" w:rsidP="009C7472">
      <w:pPr>
        <w:pStyle w:val="Default"/>
        <w:rPr>
          <w:sz w:val="22"/>
          <w:szCs w:val="22"/>
        </w:rPr>
      </w:pPr>
      <w:r>
        <w:rPr>
          <w:sz w:val="22"/>
          <w:szCs w:val="22"/>
        </w:rPr>
        <w:t xml:space="preserve">Much of this historically extreme valuation is embedded in large cap technology and communications firms currently benefitting from the unprecedented investment in </w:t>
      </w:r>
      <w:r w:rsidR="002540D4">
        <w:rPr>
          <w:sz w:val="22"/>
          <w:szCs w:val="22"/>
        </w:rPr>
        <w:t>Artificial Intelligence</w:t>
      </w:r>
      <w:r>
        <w:rPr>
          <w:sz w:val="22"/>
          <w:szCs w:val="22"/>
        </w:rPr>
        <w:t xml:space="preserve"> capabilities. Considering this, we once again state our views that episodes of techno-optimism such as the current AI frenzy </w:t>
      </w:r>
      <w:r w:rsidR="00F01C9C">
        <w:rPr>
          <w:sz w:val="22"/>
          <w:szCs w:val="22"/>
        </w:rPr>
        <w:t xml:space="preserve">can and </w:t>
      </w:r>
      <w:r>
        <w:rPr>
          <w:sz w:val="22"/>
          <w:szCs w:val="22"/>
        </w:rPr>
        <w:t xml:space="preserve">often </w:t>
      </w:r>
      <w:r w:rsidR="00F01C9C">
        <w:rPr>
          <w:sz w:val="22"/>
          <w:szCs w:val="22"/>
        </w:rPr>
        <w:t xml:space="preserve">do </w:t>
      </w:r>
      <w:r>
        <w:rPr>
          <w:sz w:val="22"/>
          <w:szCs w:val="22"/>
        </w:rPr>
        <w:t xml:space="preserve">end in investor </w:t>
      </w:r>
      <w:r w:rsidR="00BE4F3B">
        <w:rPr>
          <w:sz w:val="22"/>
          <w:szCs w:val="22"/>
        </w:rPr>
        <w:t>disappointment, and this time might not be different</w:t>
      </w:r>
      <w:r>
        <w:rPr>
          <w:sz w:val="22"/>
          <w:szCs w:val="22"/>
        </w:rPr>
        <w:t xml:space="preserve">. </w:t>
      </w:r>
    </w:p>
    <w:p w14:paraId="7CA5B82C" w14:textId="77777777" w:rsidR="00C2565C" w:rsidRDefault="00C2565C" w:rsidP="009C7472">
      <w:pPr>
        <w:pStyle w:val="Default"/>
        <w:rPr>
          <w:sz w:val="22"/>
          <w:szCs w:val="22"/>
        </w:rPr>
      </w:pPr>
    </w:p>
    <w:p w14:paraId="557058F2" w14:textId="40CDC6C4" w:rsidR="00C2565C" w:rsidRDefault="00C2565C" w:rsidP="009C7472">
      <w:pPr>
        <w:pStyle w:val="Default"/>
        <w:rPr>
          <w:sz w:val="22"/>
          <w:szCs w:val="22"/>
        </w:rPr>
      </w:pPr>
      <w:r>
        <w:rPr>
          <w:sz w:val="22"/>
          <w:szCs w:val="22"/>
        </w:rPr>
        <w:t>Additionally, we recognize that markets have prospered during this recent stretch of elevated geo-</w:t>
      </w:r>
      <w:r w:rsidR="00BE4F3B">
        <w:rPr>
          <w:sz w:val="22"/>
          <w:szCs w:val="22"/>
        </w:rPr>
        <w:t>political uncertainty,</w:t>
      </w:r>
      <w:r>
        <w:rPr>
          <w:sz w:val="22"/>
          <w:szCs w:val="22"/>
        </w:rPr>
        <w:t xml:space="preserve"> but we </w:t>
      </w:r>
      <w:r w:rsidR="00BE4F3B">
        <w:rPr>
          <w:sz w:val="22"/>
          <w:szCs w:val="22"/>
        </w:rPr>
        <w:t xml:space="preserve">still </w:t>
      </w:r>
      <w:r>
        <w:rPr>
          <w:sz w:val="22"/>
          <w:szCs w:val="22"/>
        </w:rPr>
        <w:t xml:space="preserve">don’t discount that </w:t>
      </w:r>
      <w:r w:rsidR="00BE4F3B">
        <w:rPr>
          <w:sz w:val="22"/>
          <w:szCs w:val="22"/>
        </w:rPr>
        <w:t>trade wars have historically been a net negative for both the American economy and the stock market</w:t>
      </w:r>
      <w:r w:rsidR="00F01C9C">
        <w:rPr>
          <w:sz w:val="22"/>
          <w:szCs w:val="22"/>
        </w:rPr>
        <w:t>. A</w:t>
      </w:r>
      <w:r w:rsidR="00BE4F3B">
        <w:rPr>
          <w:sz w:val="22"/>
          <w:szCs w:val="22"/>
        </w:rPr>
        <w:t xml:space="preserve">ny fallout from Washington policy bears close watching. </w:t>
      </w:r>
    </w:p>
    <w:p w14:paraId="2625C6E7" w14:textId="77777777" w:rsidR="00BE4F3B" w:rsidRDefault="00BE4F3B" w:rsidP="009C7472">
      <w:pPr>
        <w:pStyle w:val="Default"/>
        <w:rPr>
          <w:sz w:val="22"/>
          <w:szCs w:val="22"/>
        </w:rPr>
      </w:pPr>
    </w:p>
    <w:p w14:paraId="40E15496" w14:textId="698C4A28" w:rsidR="00F850B3" w:rsidRDefault="00BE4F3B" w:rsidP="009C7472">
      <w:pPr>
        <w:pStyle w:val="Default"/>
        <w:rPr>
          <w:sz w:val="22"/>
          <w:szCs w:val="22"/>
        </w:rPr>
      </w:pPr>
      <w:r>
        <w:rPr>
          <w:sz w:val="22"/>
          <w:szCs w:val="22"/>
        </w:rPr>
        <w:lastRenderedPageBreak/>
        <w:t>We always counsel our clients to fix the</w:t>
      </w:r>
      <w:r w:rsidR="00DE54E5">
        <w:rPr>
          <w:sz w:val="22"/>
          <w:szCs w:val="22"/>
        </w:rPr>
        <w:t xml:space="preserve"> </w:t>
      </w:r>
      <w:r>
        <w:rPr>
          <w:sz w:val="22"/>
          <w:szCs w:val="22"/>
        </w:rPr>
        <w:t xml:space="preserve">roof while the sun is still shining, and the sun is rarely brighter than at this moment. This implies that you continue to heed the lessons of diversification </w:t>
      </w:r>
      <w:r w:rsidR="00F01C9C">
        <w:rPr>
          <w:sz w:val="22"/>
          <w:szCs w:val="22"/>
        </w:rPr>
        <w:t>that were on display this</w:t>
      </w:r>
      <w:r>
        <w:rPr>
          <w:sz w:val="22"/>
          <w:szCs w:val="22"/>
        </w:rPr>
        <w:t xml:space="preserve"> year, reducing any concentration in the growth-oriented investments that have grown over the past few years while maintaining adequate exposure to less richly valued segment of the global economy. </w:t>
      </w:r>
    </w:p>
    <w:p w14:paraId="51C0D3F3" w14:textId="77777777" w:rsidR="00BE4F3B" w:rsidRDefault="00BE4F3B" w:rsidP="009C7472">
      <w:pPr>
        <w:pStyle w:val="Default"/>
        <w:rPr>
          <w:sz w:val="22"/>
          <w:szCs w:val="22"/>
        </w:rPr>
      </w:pPr>
    </w:p>
    <w:p w14:paraId="46A2FF68" w14:textId="078ED7E0" w:rsidR="00BE4F3B" w:rsidRDefault="00BE4F3B" w:rsidP="009C7472">
      <w:pPr>
        <w:pStyle w:val="Default"/>
        <w:rPr>
          <w:sz w:val="22"/>
          <w:szCs w:val="22"/>
        </w:rPr>
      </w:pPr>
      <w:r>
        <w:rPr>
          <w:sz w:val="22"/>
          <w:szCs w:val="22"/>
        </w:rPr>
        <w:t xml:space="preserve">In terms of rates, we continue to struggle to handicap the path of short and intermediate term rates over the near term. Inflation has been </w:t>
      </w:r>
      <w:r w:rsidR="00753644">
        <w:rPr>
          <w:sz w:val="22"/>
          <w:szCs w:val="22"/>
        </w:rPr>
        <w:t xml:space="preserve">in check despite Washington policy, and most options markets agree that the Fed will continue to cut over the next year, extending the recent “bull steepener” trend of short-term rates falling while intermediate rates stay fixed. In that scenario, it continues to be wise to extend maturities of bond holdings in your portfolio. </w:t>
      </w:r>
    </w:p>
    <w:p w14:paraId="2374FCB5" w14:textId="77777777" w:rsidR="00753644" w:rsidRDefault="00753644" w:rsidP="009C7472">
      <w:pPr>
        <w:pStyle w:val="Default"/>
        <w:rPr>
          <w:sz w:val="22"/>
          <w:szCs w:val="22"/>
        </w:rPr>
      </w:pPr>
    </w:p>
    <w:p w14:paraId="20318DA5" w14:textId="21A5306B" w:rsidR="00753644" w:rsidRDefault="00753644" w:rsidP="009C7472">
      <w:pPr>
        <w:pStyle w:val="Default"/>
        <w:rPr>
          <w:sz w:val="22"/>
          <w:szCs w:val="22"/>
        </w:rPr>
      </w:pPr>
      <w:r>
        <w:rPr>
          <w:sz w:val="22"/>
          <w:szCs w:val="22"/>
        </w:rPr>
        <w:t xml:space="preserve">Even if markets do not meet the lofty expectations over the near-term, we maintain faith in their potential over the long-term, and counsel investors with longer time horizons to stay the course as always. </w:t>
      </w:r>
    </w:p>
    <w:p w14:paraId="68D9F563" w14:textId="77777777" w:rsidR="00753644" w:rsidRDefault="00753644" w:rsidP="009C7472">
      <w:pPr>
        <w:pStyle w:val="Default"/>
        <w:rPr>
          <w:sz w:val="22"/>
          <w:szCs w:val="22"/>
        </w:rPr>
      </w:pPr>
    </w:p>
    <w:p w14:paraId="70CDB193" w14:textId="77777777" w:rsidR="00DE54E5" w:rsidRDefault="00DE54E5" w:rsidP="00DE54E5">
      <w:pPr>
        <w:pStyle w:val="Default"/>
        <w:rPr>
          <w:sz w:val="22"/>
          <w:szCs w:val="22"/>
        </w:rPr>
      </w:pPr>
      <w:r>
        <w:rPr>
          <w:sz w:val="22"/>
          <w:szCs w:val="22"/>
        </w:rPr>
        <w:t xml:space="preserve">As always, we appreciate the trust and faith you have placed in our firm. We look forward to discussing these topics, or any questions or concerns, with you in the months ahead. </w:t>
      </w:r>
    </w:p>
    <w:p w14:paraId="1D190841" w14:textId="77777777" w:rsidR="00753644" w:rsidRDefault="00753644" w:rsidP="009C7472">
      <w:pPr>
        <w:pStyle w:val="Default"/>
        <w:rPr>
          <w:sz w:val="22"/>
          <w:szCs w:val="22"/>
        </w:rPr>
      </w:pPr>
    </w:p>
    <w:p w14:paraId="740BEE64" w14:textId="77777777" w:rsidR="00753644" w:rsidRDefault="00753644" w:rsidP="009C7472">
      <w:pPr>
        <w:pStyle w:val="Default"/>
        <w:rPr>
          <w:sz w:val="22"/>
          <w:szCs w:val="22"/>
        </w:rPr>
      </w:pPr>
    </w:p>
    <w:p w14:paraId="1AA4F31F" w14:textId="77777777" w:rsidR="00753644" w:rsidRDefault="00753644" w:rsidP="009C7472">
      <w:pPr>
        <w:pStyle w:val="Default"/>
        <w:rPr>
          <w:sz w:val="22"/>
          <w:szCs w:val="22"/>
        </w:rPr>
      </w:pPr>
    </w:p>
    <w:p w14:paraId="5C61055A" w14:textId="77777777" w:rsidR="00BE4F3B" w:rsidRDefault="00BE4F3B" w:rsidP="009C7472">
      <w:pPr>
        <w:pStyle w:val="Default"/>
        <w:rPr>
          <w:sz w:val="22"/>
          <w:szCs w:val="22"/>
        </w:rPr>
      </w:pPr>
    </w:p>
    <w:p w14:paraId="1CDC71A7" w14:textId="18108618" w:rsidR="00364AEF" w:rsidRDefault="009C7472" w:rsidP="009C7472">
      <w:pPr>
        <w:pStyle w:val="Default"/>
      </w:pPr>
      <w:r>
        <w:rPr>
          <w:sz w:val="22"/>
          <w:szCs w:val="22"/>
        </w:rPr>
        <w:t>Sincerely,</w:t>
      </w:r>
    </w:p>
    <w:p w14:paraId="4C1DA2FF" w14:textId="2802F08C" w:rsidR="00364AEF" w:rsidRDefault="00364AEF" w:rsidP="000D5B73">
      <w:pPr>
        <w:spacing w:after="0" w:line="240" w:lineRule="auto"/>
        <w:rPr>
          <w:rFonts w:ascii="Times New Roman" w:hAnsi="Times New Roman" w:cs="Times New Roman"/>
        </w:rPr>
      </w:pPr>
    </w:p>
    <w:p w14:paraId="13D2F185" w14:textId="77777777" w:rsidR="00364AEF" w:rsidRDefault="00364AEF" w:rsidP="000D5B73">
      <w:pPr>
        <w:spacing w:after="0" w:line="240" w:lineRule="auto"/>
        <w:rPr>
          <w:rFonts w:ascii="Times New Roman" w:hAnsi="Times New Roman" w:cs="Times New Roman"/>
        </w:rPr>
      </w:pPr>
    </w:p>
    <w:p w14:paraId="7ADB1CD7" w14:textId="03FC0F61" w:rsidR="00F926DB" w:rsidRDefault="00DF150D" w:rsidP="000D5B73">
      <w:pPr>
        <w:spacing w:after="0" w:line="240" w:lineRule="auto"/>
        <w:rPr>
          <w:rFonts w:ascii="Times New Roman" w:hAnsi="Times New Roman" w:cs="Times New Roman"/>
        </w:rPr>
      </w:pPr>
      <w:r w:rsidRPr="009342E4">
        <w:rPr>
          <w:rFonts w:ascii="Times New Roman" w:hAnsi="Times New Roman" w:cs="Times New Roman"/>
        </w:rPr>
        <w:t>TURTLE CREEK TRUST</w:t>
      </w:r>
    </w:p>
    <w:p w14:paraId="55ABABCE" w14:textId="77777777" w:rsidR="000B46DA" w:rsidRDefault="000B46DA" w:rsidP="000D5B73">
      <w:pPr>
        <w:spacing w:after="0" w:line="240" w:lineRule="auto"/>
        <w:rPr>
          <w:rFonts w:ascii="Times New Roman" w:hAnsi="Times New Roman" w:cs="Times New Roman"/>
        </w:rPr>
      </w:pPr>
    </w:p>
    <w:p w14:paraId="0B98D487" w14:textId="77777777" w:rsidR="000B46DA" w:rsidRDefault="000B46DA" w:rsidP="000D5B73">
      <w:pPr>
        <w:spacing w:after="0" w:line="240" w:lineRule="auto"/>
        <w:rPr>
          <w:rFonts w:ascii="Times New Roman" w:hAnsi="Times New Roman" w:cs="Times New Roman"/>
        </w:rPr>
      </w:pPr>
    </w:p>
    <w:p w14:paraId="5BD733C4" w14:textId="77777777" w:rsidR="00DE54E5" w:rsidRDefault="00DE54E5" w:rsidP="000D5B73">
      <w:pPr>
        <w:spacing w:after="0" w:line="240" w:lineRule="auto"/>
        <w:rPr>
          <w:rFonts w:ascii="Times New Roman" w:hAnsi="Times New Roman" w:cs="Times New Roman"/>
          <w:sz w:val="18"/>
          <w:szCs w:val="18"/>
        </w:rPr>
      </w:pPr>
    </w:p>
    <w:p w14:paraId="4B81293D" w14:textId="77777777" w:rsidR="00DE54E5" w:rsidRDefault="00DE54E5" w:rsidP="000D5B73">
      <w:pPr>
        <w:spacing w:after="0" w:line="240" w:lineRule="auto"/>
        <w:rPr>
          <w:rFonts w:ascii="Times New Roman" w:hAnsi="Times New Roman" w:cs="Times New Roman"/>
          <w:sz w:val="18"/>
          <w:szCs w:val="18"/>
        </w:rPr>
      </w:pPr>
    </w:p>
    <w:p w14:paraId="72DC0C9B" w14:textId="77777777" w:rsidR="00DE54E5" w:rsidRDefault="00DE54E5" w:rsidP="000D5B73">
      <w:pPr>
        <w:spacing w:after="0" w:line="240" w:lineRule="auto"/>
        <w:rPr>
          <w:rFonts w:ascii="Times New Roman" w:hAnsi="Times New Roman" w:cs="Times New Roman"/>
          <w:sz w:val="18"/>
          <w:szCs w:val="18"/>
        </w:rPr>
      </w:pPr>
    </w:p>
    <w:p w14:paraId="6DACA6BF" w14:textId="77777777" w:rsidR="00DE54E5" w:rsidRDefault="00DE54E5" w:rsidP="000D5B73">
      <w:pPr>
        <w:spacing w:after="0" w:line="240" w:lineRule="auto"/>
        <w:rPr>
          <w:rFonts w:ascii="Times New Roman" w:hAnsi="Times New Roman" w:cs="Times New Roman"/>
          <w:sz w:val="18"/>
          <w:szCs w:val="18"/>
        </w:rPr>
      </w:pPr>
    </w:p>
    <w:p w14:paraId="146B866F" w14:textId="77777777" w:rsidR="00DE54E5" w:rsidRDefault="00DE54E5" w:rsidP="000D5B73">
      <w:pPr>
        <w:spacing w:after="0" w:line="240" w:lineRule="auto"/>
        <w:rPr>
          <w:rFonts w:ascii="Times New Roman" w:hAnsi="Times New Roman" w:cs="Times New Roman"/>
          <w:sz w:val="18"/>
          <w:szCs w:val="18"/>
        </w:rPr>
      </w:pPr>
    </w:p>
    <w:p w14:paraId="3310C98D" w14:textId="77777777" w:rsidR="00DE54E5" w:rsidRDefault="00DE54E5" w:rsidP="000D5B73">
      <w:pPr>
        <w:spacing w:after="0" w:line="240" w:lineRule="auto"/>
        <w:rPr>
          <w:rFonts w:ascii="Times New Roman" w:hAnsi="Times New Roman" w:cs="Times New Roman"/>
          <w:sz w:val="18"/>
          <w:szCs w:val="18"/>
        </w:rPr>
      </w:pPr>
    </w:p>
    <w:p w14:paraId="7513F94B" w14:textId="77777777" w:rsidR="00DE54E5" w:rsidRDefault="00DE54E5" w:rsidP="000D5B73">
      <w:pPr>
        <w:spacing w:after="0" w:line="240" w:lineRule="auto"/>
        <w:rPr>
          <w:rFonts w:ascii="Times New Roman" w:hAnsi="Times New Roman" w:cs="Times New Roman"/>
          <w:sz w:val="18"/>
          <w:szCs w:val="18"/>
        </w:rPr>
      </w:pPr>
    </w:p>
    <w:p w14:paraId="7B925925" w14:textId="77777777" w:rsidR="00DE54E5" w:rsidRDefault="00DE54E5" w:rsidP="000D5B73">
      <w:pPr>
        <w:spacing w:after="0" w:line="240" w:lineRule="auto"/>
        <w:rPr>
          <w:rFonts w:ascii="Times New Roman" w:hAnsi="Times New Roman" w:cs="Times New Roman"/>
          <w:sz w:val="18"/>
          <w:szCs w:val="18"/>
        </w:rPr>
      </w:pPr>
    </w:p>
    <w:p w14:paraId="2AB3852B" w14:textId="77777777" w:rsidR="00DE54E5" w:rsidRDefault="00DE54E5" w:rsidP="000D5B73">
      <w:pPr>
        <w:spacing w:after="0" w:line="240" w:lineRule="auto"/>
        <w:rPr>
          <w:rFonts w:ascii="Times New Roman" w:hAnsi="Times New Roman" w:cs="Times New Roman"/>
          <w:sz w:val="18"/>
          <w:szCs w:val="18"/>
        </w:rPr>
      </w:pPr>
    </w:p>
    <w:p w14:paraId="18AC54F3" w14:textId="77777777" w:rsidR="00DE54E5" w:rsidRDefault="00DE54E5" w:rsidP="000D5B73">
      <w:pPr>
        <w:spacing w:after="0" w:line="240" w:lineRule="auto"/>
        <w:rPr>
          <w:rFonts w:ascii="Times New Roman" w:hAnsi="Times New Roman" w:cs="Times New Roman"/>
          <w:sz w:val="18"/>
          <w:szCs w:val="18"/>
        </w:rPr>
      </w:pPr>
    </w:p>
    <w:p w14:paraId="0B761CBB" w14:textId="77777777" w:rsidR="00DE54E5" w:rsidRDefault="00DE54E5" w:rsidP="000D5B73">
      <w:pPr>
        <w:spacing w:after="0" w:line="240" w:lineRule="auto"/>
        <w:rPr>
          <w:rFonts w:ascii="Times New Roman" w:hAnsi="Times New Roman" w:cs="Times New Roman"/>
          <w:sz w:val="18"/>
          <w:szCs w:val="18"/>
        </w:rPr>
      </w:pPr>
    </w:p>
    <w:p w14:paraId="18787955" w14:textId="77777777" w:rsidR="00DE54E5" w:rsidRDefault="00DE54E5" w:rsidP="000D5B73">
      <w:pPr>
        <w:spacing w:after="0" w:line="240" w:lineRule="auto"/>
        <w:rPr>
          <w:rFonts w:ascii="Times New Roman" w:hAnsi="Times New Roman" w:cs="Times New Roman"/>
          <w:sz w:val="18"/>
          <w:szCs w:val="18"/>
        </w:rPr>
      </w:pPr>
    </w:p>
    <w:p w14:paraId="28F28516" w14:textId="77777777" w:rsidR="00DE54E5" w:rsidRDefault="00DE54E5" w:rsidP="000D5B73">
      <w:pPr>
        <w:spacing w:after="0" w:line="240" w:lineRule="auto"/>
        <w:rPr>
          <w:rFonts w:ascii="Times New Roman" w:hAnsi="Times New Roman" w:cs="Times New Roman"/>
          <w:sz w:val="18"/>
          <w:szCs w:val="18"/>
        </w:rPr>
      </w:pPr>
    </w:p>
    <w:p w14:paraId="3FFBDF64" w14:textId="77777777" w:rsidR="00DE54E5" w:rsidRDefault="00DE54E5" w:rsidP="000D5B73">
      <w:pPr>
        <w:spacing w:after="0" w:line="240" w:lineRule="auto"/>
        <w:rPr>
          <w:rFonts w:ascii="Times New Roman" w:hAnsi="Times New Roman" w:cs="Times New Roman"/>
          <w:sz w:val="18"/>
          <w:szCs w:val="18"/>
        </w:rPr>
      </w:pPr>
    </w:p>
    <w:p w14:paraId="285BCCA8" w14:textId="77777777" w:rsidR="00DE54E5" w:rsidRDefault="00DE54E5" w:rsidP="000D5B73">
      <w:pPr>
        <w:spacing w:after="0" w:line="240" w:lineRule="auto"/>
        <w:rPr>
          <w:rFonts w:ascii="Times New Roman" w:hAnsi="Times New Roman" w:cs="Times New Roman"/>
          <w:sz w:val="18"/>
          <w:szCs w:val="18"/>
        </w:rPr>
      </w:pPr>
    </w:p>
    <w:p w14:paraId="42A943B0" w14:textId="77777777" w:rsidR="00DE54E5" w:rsidRDefault="00DE54E5" w:rsidP="000D5B73">
      <w:pPr>
        <w:spacing w:after="0" w:line="240" w:lineRule="auto"/>
        <w:rPr>
          <w:rFonts w:ascii="Times New Roman" w:hAnsi="Times New Roman" w:cs="Times New Roman"/>
          <w:sz w:val="18"/>
          <w:szCs w:val="18"/>
        </w:rPr>
      </w:pPr>
    </w:p>
    <w:p w14:paraId="175F1B65" w14:textId="77777777" w:rsidR="00DE54E5" w:rsidRDefault="00DE54E5" w:rsidP="000D5B73">
      <w:pPr>
        <w:spacing w:after="0" w:line="240" w:lineRule="auto"/>
        <w:rPr>
          <w:rFonts w:ascii="Times New Roman" w:hAnsi="Times New Roman" w:cs="Times New Roman"/>
          <w:sz w:val="18"/>
          <w:szCs w:val="18"/>
        </w:rPr>
      </w:pPr>
    </w:p>
    <w:p w14:paraId="4EE20E03" w14:textId="77777777" w:rsidR="00DE54E5" w:rsidRDefault="00DE54E5" w:rsidP="000D5B73">
      <w:pPr>
        <w:spacing w:after="0" w:line="240" w:lineRule="auto"/>
        <w:rPr>
          <w:rFonts w:ascii="Times New Roman" w:hAnsi="Times New Roman" w:cs="Times New Roman"/>
          <w:sz w:val="18"/>
          <w:szCs w:val="18"/>
        </w:rPr>
      </w:pPr>
    </w:p>
    <w:p w14:paraId="2F39C976" w14:textId="77777777" w:rsidR="00DE54E5" w:rsidRDefault="00DE54E5" w:rsidP="000D5B73">
      <w:pPr>
        <w:spacing w:after="0" w:line="240" w:lineRule="auto"/>
        <w:rPr>
          <w:rFonts w:ascii="Times New Roman" w:hAnsi="Times New Roman" w:cs="Times New Roman"/>
          <w:sz w:val="18"/>
          <w:szCs w:val="18"/>
        </w:rPr>
      </w:pPr>
    </w:p>
    <w:p w14:paraId="2F19CE1F" w14:textId="77777777" w:rsidR="00DE54E5" w:rsidRDefault="00DE54E5" w:rsidP="000D5B73">
      <w:pPr>
        <w:spacing w:after="0" w:line="240" w:lineRule="auto"/>
        <w:rPr>
          <w:rFonts w:ascii="Times New Roman" w:hAnsi="Times New Roman" w:cs="Times New Roman"/>
          <w:sz w:val="18"/>
          <w:szCs w:val="18"/>
        </w:rPr>
      </w:pPr>
    </w:p>
    <w:p w14:paraId="4187F02C" w14:textId="77777777" w:rsidR="00DE54E5" w:rsidRDefault="00DE54E5" w:rsidP="000D5B73">
      <w:pPr>
        <w:spacing w:after="0" w:line="240" w:lineRule="auto"/>
        <w:rPr>
          <w:rFonts w:ascii="Times New Roman" w:hAnsi="Times New Roman" w:cs="Times New Roman"/>
          <w:sz w:val="18"/>
          <w:szCs w:val="18"/>
        </w:rPr>
      </w:pPr>
    </w:p>
    <w:p w14:paraId="33BFEF65" w14:textId="77777777" w:rsidR="00DE54E5" w:rsidRDefault="00DE54E5" w:rsidP="000D5B73">
      <w:pPr>
        <w:spacing w:after="0" w:line="240" w:lineRule="auto"/>
        <w:rPr>
          <w:rFonts w:ascii="Times New Roman" w:hAnsi="Times New Roman" w:cs="Times New Roman"/>
          <w:sz w:val="18"/>
          <w:szCs w:val="18"/>
        </w:rPr>
      </w:pPr>
    </w:p>
    <w:p w14:paraId="402A397A" w14:textId="77777777" w:rsidR="00DE54E5" w:rsidRDefault="00DE54E5" w:rsidP="000D5B73">
      <w:pPr>
        <w:spacing w:after="0" w:line="240" w:lineRule="auto"/>
        <w:rPr>
          <w:rFonts w:ascii="Times New Roman" w:hAnsi="Times New Roman" w:cs="Times New Roman"/>
          <w:sz w:val="18"/>
          <w:szCs w:val="18"/>
        </w:rPr>
      </w:pPr>
    </w:p>
    <w:p w14:paraId="293F8AD8" w14:textId="77777777" w:rsidR="00DE54E5" w:rsidRDefault="00DE54E5" w:rsidP="000D5B73">
      <w:pPr>
        <w:spacing w:after="0" w:line="240" w:lineRule="auto"/>
        <w:rPr>
          <w:rFonts w:ascii="Times New Roman" w:hAnsi="Times New Roman" w:cs="Times New Roman"/>
          <w:sz w:val="18"/>
          <w:szCs w:val="18"/>
        </w:rPr>
      </w:pPr>
    </w:p>
    <w:p w14:paraId="6F2BC1F1" w14:textId="77777777" w:rsidR="00DE54E5" w:rsidRDefault="00DE54E5" w:rsidP="000D5B73">
      <w:pPr>
        <w:spacing w:after="0" w:line="240" w:lineRule="auto"/>
        <w:rPr>
          <w:rFonts w:ascii="Times New Roman" w:hAnsi="Times New Roman" w:cs="Times New Roman"/>
          <w:sz w:val="18"/>
          <w:szCs w:val="18"/>
        </w:rPr>
      </w:pPr>
    </w:p>
    <w:p w14:paraId="776BCD46" w14:textId="05BE4362" w:rsidR="000B46DA" w:rsidRPr="000B46DA" w:rsidRDefault="000B46DA" w:rsidP="000D5B73">
      <w:pPr>
        <w:spacing w:after="0" w:line="240" w:lineRule="auto"/>
        <w:rPr>
          <w:rFonts w:ascii="Times New Roman" w:hAnsi="Times New Roman" w:cs="Times New Roman"/>
          <w:sz w:val="18"/>
          <w:szCs w:val="18"/>
        </w:rPr>
      </w:pPr>
      <w:r w:rsidRPr="000B46DA">
        <w:rPr>
          <w:rFonts w:ascii="Times New Roman" w:hAnsi="Times New Roman" w:cs="Times New Roman"/>
          <w:sz w:val="18"/>
          <w:szCs w:val="18"/>
        </w:rPr>
        <w:t>“Turtle Creek Trust Company, LTA, is a chartered trust company registered with the State of Texas. Turtle Creek Management, LLC, is an investment adviser registered with the United States Securities and Exchange Commission. Turtle Creek Management, LLC, is not a chartered bank, trust company, or depository institution. It is not authorized to accept deposits or trust accounts and is not licensed or regulated by any state or federal banking authority. Turtle Creek Trust Company, LTA, and Turtle Creek Management, LLC, are wholly owned subsidiaries of TCTC Holdings, LLC, which together operate under the assumed name Turtle Creek Trust.”</w:t>
      </w:r>
    </w:p>
    <w:sectPr w:rsidR="000B46DA" w:rsidRPr="000B46DA" w:rsidSect="00E80F35">
      <w:headerReference w:type="default" r:id="rId14"/>
      <w:footerReference w:type="default" r:id="rId15"/>
      <w:headerReference w:type="first" r:id="rId16"/>
      <w:footerReference w:type="first" r:id="rId17"/>
      <w:pgSz w:w="12240" w:h="15840" w:code="1"/>
      <w:pgMar w:top="1440" w:right="1440" w:bottom="634"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2886" w14:textId="77777777" w:rsidR="004C0AE3" w:rsidRDefault="004C0AE3" w:rsidP="004D5236">
      <w:pPr>
        <w:spacing w:after="0" w:line="240" w:lineRule="auto"/>
      </w:pPr>
      <w:r>
        <w:separator/>
      </w:r>
    </w:p>
  </w:endnote>
  <w:endnote w:type="continuationSeparator" w:id="0">
    <w:p w14:paraId="1BE73977" w14:textId="77777777" w:rsidR="004C0AE3" w:rsidRDefault="004C0AE3" w:rsidP="004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1B4" w14:textId="36CA8BE6" w:rsidR="000B1307" w:rsidRPr="004D5236" w:rsidRDefault="000B1307" w:rsidP="007475F2">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sidR="00483109">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770AC1CB" w14:textId="77777777" w:rsidR="000B1307" w:rsidRDefault="000B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6BB" w14:textId="77777777" w:rsidR="00537ECA" w:rsidRPr="004D5236" w:rsidRDefault="00537ECA" w:rsidP="00537ECA">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59073F6D" w14:textId="77777777" w:rsidR="00537ECA" w:rsidRDefault="005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46" w14:textId="77777777" w:rsidR="004C0AE3" w:rsidRDefault="004C0AE3" w:rsidP="004D5236">
      <w:pPr>
        <w:spacing w:after="0" w:line="240" w:lineRule="auto"/>
      </w:pPr>
      <w:r>
        <w:separator/>
      </w:r>
    </w:p>
  </w:footnote>
  <w:footnote w:type="continuationSeparator" w:id="0">
    <w:p w14:paraId="26489737" w14:textId="77777777" w:rsidR="004C0AE3" w:rsidRDefault="004C0AE3" w:rsidP="004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DB4" w14:textId="7D36AB9B" w:rsidR="000B1307" w:rsidRPr="007475F2" w:rsidRDefault="00636369" w:rsidP="004D5236">
    <w:pPr>
      <w:pStyle w:val="Header"/>
      <w:tabs>
        <w:tab w:val="clear" w:pos="9360"/>
      </w:tabs>
      <w:rPr>
        <w:b/>
        <w:sz w:val="14"/>
        <w:szCs w:val="14"/>
      </w:rPr>
    </w:pPr>
    <w:r>
      <w:rPr>
        <w:b/>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840D" w14:textId="612B5D96" w:rsidR="00E80F35" w:rsidRDefault="00E80F35" w:rsidP="00E80F35">
    <w:pPr>
      <w:pStyle w:val="Header"/>
      <w:jc w:val="center"/>
    </w:pPr>
    <w:r w:rsidRPr="00636369">
      <w:rPr>
        <w:rFonts w:ascii="Times New Roman" w:hAnsi="Times New Roman" w:cs="Times New Roman"/>
        <w:noProof/>
        <w:sz w:val="20"/>
        <w:szCs w:val="20"/>
      </w:rPr>
      <w:drawing>
        <wp:inline distT="0" distB="0" distL="0" distR="0" wp14:anchorId="57B22F50" wp14:editId="664E2222">
          <wp:extent cx="1486277" cy="835234"/>
          <wp:effectExtent l="0" t="0" r="0" b="3175"/>
          <wp:docPr id="143450183"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3271" name="Picture 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286" cy="889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4"/>
    <w:multiLevelType w:val="hybridMultilevel"/>
    <w:tmpl w:val="BB0EBB5E"/>
    <w:lvl w:ilvl="0" w:tplc="9C0E68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77FC"/>
    <w:multiLevelType w:val="hybridMultilevel"/>
    <w:tmpl w:val="891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38FD"/>
    <w:multiLevelType w:val="hybridMultilevel"/>
    <w:tmpl w:val="0AF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CDE"/>
    <w:multiLevelType w:val="hybridMultilevel"/>
    <w:tmpl w:val="61F2D9FA"/>
    <w:lvl w:ilvl="0" w:tplc="6E0E8060">
      <w:numFmt w:val="bullet"/>
      <w:lvlText w:val="-"/>
      <w:lvlJc w:val="left"/>
      <w:pPr>
        <w:ind w:left="720" w:hanging="360"/>
      </w:pPr>
      <w:rPr>
        <w:rFonts w:ascii="Times New Roman" w:eastAsiaTheme="minorHAnsi" w:hAnsi="Times New Roman" w:cs="Times New Roman" w:hint="default"/>
        <w:color w:val="auto"/>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646EF"/>
    <w:multiLevelType w:val="hybridMultilevel"/>
    <w:tmpl w:val="E6D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50EAA"/>
    <w:multiLevelType w:val="hybridMultilevel"/>
    <w:tmpl w:val="58808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B7D7E"/>
    <w:multiLevelType w:val="hybridMultilevel"/>
    <w:tmpl w:val="4E5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90030"/>
    <w:multiLevelType w:val="hybridMultilevel"/>
    <w:tmpl w:val="B28E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7247229"/>
    <w:multiLevelType w:val="hybridMultilevel"/>
    <w:tmpl w:val="242C2D8C"/>
    <w:lvl w:ilvl="0" w:tplc="5B5C3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1828">
    <w:abstractNumId w:val="6"/>
  </w:num>
  <w:num w:numId="2" w16cid:durableId="1041126138">
    <w:abstractNumId w:val="3"/>
  </w:num>
  <w:num w:numId="3" w16cid:durableId="646905859">
    <w:abstractNumId w:val="8"/>
  </w:num>
  <w:num w:numId="4" w16cid:durableId="622539447">
    <w:abstractNumId w:val="1"/>
  </w:num>
  <w:num w:numId="5" w16cid:durableId="1244027157">
    <w:abstractNumId w:val="2"/>
  </w:num>
  <w:num w:numId="6" w16cid:durableId="334456803">
    <w:abstractNumId w:val="5"/>
  </w:num>
  <w:num w:numId="7" w16cid:durableId="1145316267">
    <w:abstractNumId w:val="4"/>
  </w:num>
  <w:num w:numId="8" w16cid:durableId="1973558321">
    <w:abstractNumId w:val="7"/>
  </w:num>
  <w:num w:numId="9" w16cid:durableId="124696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07AB"/>
    <w:rsid w:val="000008BD"/>
    <w:rsid w:val="00000B53"/>
    <w:rsid w:val="00000DBC"/>
    <w:rsid w:val="00001A07"/>
    <w:rsid w:val="00001B37"/>
    <w:rsid w:val="00002593"/>
    <w:rsid w:val="0000288F"/>
    <w:rsid w:val="00003230"/>
    <w:rsid w:val="00014684"/>
    <w:rsid w:val="00014848"/>
    <w:rsid w:val="0001626F"/>
    <w:rsid w:val="000179B2"/>
    <w:rsid w:val="00017C85"/>
    <w:rsid w:val="00020D4C"/>
    <w:rsid w:val="0002174C"/>
    <w:rsid w:val="00023B4D"/>
    <w:rsid w:val="0002402F"/>
    <w:rsid w:val="0002466F"/>
    <w:rsid w:val="000247EF"/>
    <w:rsid w:val="00026C32"/>
    <w:rsid w:val="00026D2B"/>
    <w:rsid w:val="00030442"/>
    <w:rsid w:val="00032EAE"/>
    <w:rsid w:val="0003388C"/>
    <w:rsid w:val="00034346"/>
    <w:rsid w:val="0003490B"/>
    <w:rsid w:val="000349F3"/>
    <w:rsid w:val="00040C1C"/>
    <w:rsid w:val="000423F6"/>
    <w:rsid w:val="000443C4"/>
    <w:rsid w:val="00044F61"/>
    <w:rsid w:val="000457F2"/>
    <w:rsid w:val="00046170"/>
    <w:rsid w:val="0004710A"/>
    <w:rsid w:val="0005008C"/>
    <w:rsid w:val="00053E5B"/>
    <w:rsid w:val="00061CC4"/>
    <w:rsid w:val="00062312"/>
    <w:rsid w:val="000624F6"/>
    <w:rsid w:val="00063766"/>
    <w:rsid w:val="00063C5D"/>
    <w:rsid w:val="00064817"/>
    <w:rsid w:val="00065A52"/>
    <w:rsid w:val="00066F56"/>
    <w:rsid w:val="00067ADB"/>
    <w:rsid w:val="00067EBC"/>
    <w:rsid w:val="00073AF8"/>
    <w:rsid w:val="00073C38"/>
    <w:rsid w:val="00075A19"/>
    <w:rsid w:val="00080BB2"/>
    <w:rsid w:val="00081C80"/>
    <w:rsid w:val="0008457F"/>
    <w:rsid w:val="000850F3"/>
    <w:rsid w:val="000910DD"/>
    <w:rsid w:val="0009229E"/>
    <w:rsid w:val="00094F06"/>
    <w:rsid w:val="0009684A"/>
    <w:rsid w:val="000975A4"/>
    <w:rsid w:val="000A1BA7"/>
    <w:rsid w:val="000A3BEA"/>
    <w:rsid w:val="000A4423"/>
    <w:rsid w:val="000A4C23"/>
    <w:rsid w:val="000A62F6"/>
    <w:rsid w:val="000B1307"/>
    <w:rsid w:val="000B2BBA"/>
    <w:rsid w:val="000B3B67"/>
    <w:rsid w:val="000B46DA"/>
    <w:rsid w:val="000B5BAF"/>
    <w:rsid w:val="000B5E0B"/>
    <w:rsid w:val="000B7AEF"/>
    <w:rsid w:val="000C0DC7"/>
    <w:rsid w:val="000C17CB"/>
    <w:rsid w:val="000C1CAC"/>
    <w:rsid w:val="000C3AFA"/>
    <w:rsid w:val="000C44A9"/>
    <w:rsid w:val="000C4A05"/>
    <w:rsid w:val="000C5046"/>
    <w:rsid w:val="000C51A6"/>
    <w:rsid w:val="000C7222"/>
    <w:rsid w:val="000C7F30"/>
    <w:rsid w:val="000D0FE8"/>
    <w:rsid w:val="000D1122"/>
    <w:rsid w:val="000D1365"/>
    <w:rsid w:val="000D13E1"/>
    <w:rsid w:val="000D1FE8"/>
    <w:rsid w:val="000D4CE0"/>
    <w:rsid w:val="000D5B73"/>
    <w:rsid w:val="000D6E0B"/>
    <w:rsid w:val="000D7440"/>
    <w:rsid w:val="000E035F"/>
    <w:rsid w:val="000E2415"/>
    <w:rsid w:val="000E2AF0"/>
    <w:rsid w:val="000E37C6"/>
    <w:rsid w:val="000E5FBB"/>
    <w:rsid w:val="000E6B68"/>
    <w:rsid w:val="000F21F1"/>
    <w:rsid w:val="000F443D"/>
    <w:rsid w:val="000F468B"/>
    <w:rsid w:val="000F5D0C"/>
    <w:rsid w:val="000F644F"/>
    <w:rsid w:val="0010086D"/>
    <w:rsid w:val="00101E21"/>
    <w:rsid w:val="00102BA9"/>
    <w:rsid w:val="00103039"/>
    <w:rsid w:val="001033EF"/>
    <w:rsid w:val="00103649"/>
    <w:rsid w:val="00103C9F"/>
    <w:rsid w:val="001043AC"/>
    <w:rsid w:val="001058B2"/>
    <w:rsid w:val="001064C2"/>
    <w:rsid w:val="00106A73"/>
    <w:rsid w:val="00111A03"/>
    <w:rsid w:val="00111F4D"/>
    <w:rsid w:val="00111F7B"/>
    <w:rsid w:val="001135A9"/>
    <w:rsid w:val="001142EB"/>
    <w:rsid w:val="00121B8D"/>
    <w:rsid w:val="00122EA1"/>
    <w:rsid w:val="00126257"/>
    <w:rsid w:val="00126C89"/>
    <w:rsid w:val="00130C50"/>
    <w:rsid w:val="001314E2"/>
    <w:rsid w:val="00132B39"/>
    <w:rsid w:val="0013327C"/>
    <w:rsid w:val="001338B5"/>
    <w:rsid w:val="001354C9"/>
    <w:rsid w:val="0013679B"/>
    <w:rsid w:val="00137F97"/>
    <w:rsid w:val="00141B01"/>
    <w:rsid w:val="00141D5C"/>
    <w:rsid w:val="001423C0"/>
    <w:rsid w:val="00142C86"/>
    <w:rsid w:val="00144208"/>
    <w:rsid w:val="00144AC6"/>
    <w:rsid w:val="00144E2F"/>
    <w:rsid w:val="001452B7"/>
    <w:rsid w:val="00145493"/>
    <w:rsid w:val="001463F0"/>
    <w:rsid w:val="0014714E"/>
    <w:rsid w:val="00147CEF"/>
    <w:rsid w:val="00150C8B"/>
    <w:rsid w:val="001529E4"/>
    <w:rsid w:val="0015306F"/>
    <w:rsid w:val="00153940"/>
    <w:rsid w:val="00154213"/>
    <w:rsid w:val="0015596D"/>
    <w:rsid w:val="00156F71"/>
    <w:rsid w:val="00160FB4"/>
    <w:rsid w:val="00161109"/>
    <w:rsid w:val="00161328"/>
    <w:rsid w:val="001617A7"/>
    <w:rsid w:val="00162EFB"/>
    <w:rsid w:val="00162F96"/>
    <w:rsid w:val="00163976"/>
    <w:rsid w:val="00163AB3"/>
    <w:rsid w:val="00166A74"/>
    <w:rsid w:val="00167C31"/>
    <w:rsid w:val="00171378"/>
    <w:rsid w:val="00171B17"/>
    <w:rsid w:val="00171BAB"/>
    <w:rsid w:val="00173347"/>
    <w:rsid w:val="0017509F"/>
    <w:rsid w:val="00177F15"/>
    <w:rsid w:val="0018070C"/>
    <w:rsid w:val="001810EB"/>
    <w:rsid w:val="00183349"/>
    <w:rsid w:val="00183574"/>
    <w:rsid w:val="00183C01"/>
    <w:rsid w:val="00184962"/>
    <w:rsid w:val="0018698E"/>
    <w:rsid w:val="00191144"/>
    <w:rsid w:val="00191E1C"/>
    <w:rsid w:val="001922D4"/>
    <w:rsid w:val="001924E6"/>
    <w:rsid w:val="001933F3"/>
    <w:rsid w:val="00193FDE"/>
    <w:rsid w:val="0019404F"/>
    <w:rsid w:val="00194362"/>
    <w:rsid w:val="00194DD7"/>
    <w:rsid w:val="00195F31"/>
    <w:rsid w:val="00196965"/>
    <w:rsid w:val="00196B50"/>
    <w:rsid w:val="00196F5B"/>
    <w:rsid w:val="001A079A"/>
    <w:rsid w:val="001A3723"/>
    <w:rsid w:val="001A3876"/>
    <w:rsid w:val="001A3F2C"/>
    <w:rsid w:val="001A557F"/>
    <w:rsid w:val="001A5FBB"/>
    <w:rsid w:val="001A6EEA"/>
    <w:rsid w:val="001B05D9"/>
    <w:rsid w:val="001B1803"/>
    <w:rsid w:val="001B1DDB"/>
    <w:rsid w:val="001B28C1"/>
    <w:rsid w:val="001B3F43"/>
    <w:rsid w:val="001C020E"/>
    <w:rsid w:val="001C0587"/>
    <w:rsid w:val="001C080C"/>
    <w:rsid w:val="001C1A31"/>
    <w:rsid w:val="001C2DD0"/>
    <w:rsid w:val="001C3F5C"/>
    <w:rsid w:val="001C4B26"/>
    <w:rsid w:val="001C56B4"/>
    <w:rsid w:val="001C6E3D"/>
    <w:rsid w:val="001C7F4D"/>
    <w:rsid w:val="001D0422"/>
    <w:rsid w:val="001D05FF"/>
    <w:rsid w:val="001D0C46"/>
    <w:rsid w:val="001D0D2D"/>
    <w:rsid w:val="001D20F5"/>
    <w:rsid w:val="001D3244"/>
    <w:rsid w:val="001D51E4"/>
    <w:rsid w:val="001D5BD6"/>
    <w:rsid w:val="001D66BF"/>
    <w:rsid w:val="001E011D"/>
    <w:rsid w:val="001E04F4"/>
    <w:rsid w:val="001E1D74"/>
    <w:rsid w:val="001E2768"/>
    <w:rsid w:val="001E36C9"/>
    <w:rsid w:val="001E5DBF"/>
    <w:rsid w:val="001E6170"/>
    <w:rsid w:val="001E6892"/>
    <w:rsid w:val="001E7CAD"/>
    <w:rsid w:val="001F246A"/>
    <w:rsid w:val="001F3AA4"/>
    <w:rsid w:val="001F6E3F"/>
    <w:rsid w:val="00201D82"/>
    <w:rsid w:val="00204FA1"/>
    <w:rsid w:val="002053A4"/>
    <w:rsid w:val="0020654E"/>
    <w:rsid w:val="00207349"/>
    <w:rsid w:val="002077E7"/>
    <w:rsid w:val="00207E2A"/>
    <w:rsid w:val="00210373"/>
    <w:rsid w:val="00210514"/>
    <w:rsid w:val="00210898"/>
    <w:rsid w:val="00212390"/>
    <w:rsid w:val="00212D47"/>
    <w:rsid w:val="002163BF"/>
    <w:rsid w:val="00217244"/>
    <w:rsid w:val="002211B4"/>
    <w:rsid w:val="00223564"/>
    <w:rsid w:val="002259D5"/>
    <w:rsid w:val="002274AF"/>
    <w:rsid w:val="00230796"/>
    <w:rsid w:val="002311B4"/>
    <w:rsid w:val="00232450"/>
    <w:rsid w:val="00233165"/>
    <w:rsid w:val="002347DB"/>
    <w:rsid w:val="00234C25"/>
    <w:rsid w:val="00235B07"/>
    <w:rsid w:val="002371EA"/>
    <w:rsid w:val="002406BA"/>
    <w:rsid w:val="0024225C"/>
    <w:rsid w:val="00242CCE"/>
    <w:rsid w:val="002433C2"/>
    <w:rsid w:val="002445B6"/>
    <w:rsid w:val="002446CD"/>
    <w:rsid w:val="00245694"/>
    <w:rsid w:val="00245A77"/>
    <w:rsid w:val="00245A93"/>
    <w:rsid w:val="00246A1D"/>
    <w:rsid w:val="00246A24"/>
    <w:rsid w:val="002501FA"/>
    <w:rsid w:val="00251238"/>
    <w:rsid w:val="00252440"/>
    <w:rsid w:val="00252551"/>
    <w:rsid w:val="002540D4"/>
    <w:rsid w:val="002544FF"/>
    <w:rsid w:val="00255CBF"/>
    <w:rsid w:val="00256855"/>
    <w:rsid w:val="002615F9"/>
    <w:rsid w:val="00262497"/>
    <w:rsid w:val="002625D8"/>
    <w:rsid w:val="00262E7F"/>
    <w:rsid w:val="00263628"/>
    <w:rsid w:val="00263CF9"/>
    <w:rsid w:val="00263D01"/>
    <w:rsid w:val="00263FEC"/>
    <w:rsid w:val="002673BE"/>
    <w:rsid w:val="0026766A"/>
    <w:rsid w:val="00270EA2"/>
    <w:rsid w:val="002710D7"/>
    <w:rsid w:val="0027266F"/>
    <w:rsid w:val="00272A97"/>
    <w:rsid w:val="002773CF"/>
    <w:rsid w:val="00277A45"/>
    <w:rsid w:val="00277C02"/>
    <w:rsid w:val="00280237"/>
    <w:rsid w:val="00282647"/>
    <w:rsid w:val="00282C1B"/>
    <w:rsid w:val="00284BC7"/>
    <w:rsid w:val="00285A8C"/>
    <w:rsid w:val="00285B19"/>
    <w:rsid w:val="00285CF6"/>
    <w:rsid w:val="00286CA2"/>
    <w:rsid w:val="0029268E"/>
    <w:rsid w:val="00294179"/>
    <w:rsid w:val="00295228"/>
    <w:rsid w:val="002953AF"/>
    <w:rsid w:val="002956C1"/>
    <w:rsid w:val="002956CE"/>
    <w:rsid w:val="00295AEF"/>
    <w:rsid w:val="00295BAC"/>
    <w:rsid w:val="0029683F"/>
    <w:rsid w:val="00296EEA"/>
    <w:rsid w:val="00297EF3"/>
    <w:rsid w:val="002A111E"/>
    <w:rsid w:val="002A2B68"/>
    <w:rsid w:val="002A3E20"/>
    <w:rsid w:val="002A446E"/>
    <w:rsid w:val="002A5E97"/>
    <w:rsid w:val="002A7170"/>
    <w:rsid w:val="002A7962"/>
    <w:rsid w:val="002B0072"/>
    <w:rsid w:val="002B043D"/>
    <w:rsid w:val="002B06C6"/>
    <w:rsid w:val="002B074F"/>
    <w:rsid w:val="002B075C"/>
    <w:rsid w:val="002B17C9"/>
    <w:rsid w:val="002B2666"/>
    <w:rsid w:val="002B2A91"/>
    <w:rsid w:val="002B3E1D"/>
    <w:rsid w:val="002B4F65"/>
    <w:rsid w:val="002B516F"/>
    <w:rsid w:val="002B5E7C"/>
    <w:rsid w:val="002B6758"/>
    <w:rsid w:val="002C0385"/>
    <w:rsid w:val="002C0D53"/>
    <w:rsid w:val="002C0EF5"/>
    <w:rsid w:val="002C239D"/>
    <w:rsid w:val="002C27C7"/>
    <w:rsid w:val="002C3DA9"/>
    <w:rsid w:val="002C4019"/>
    <w:rsid w:val="002C46AF"/>
    <w:rsid w:val="002C6F96"/>
    <w:rsid w:val="002C76DD"/>
    <w:rsid w:val="002D0303"/>
    <w:rsid w:val="002D0903"/>
    <w:rsid w:val="002D1210"/>
    <w:rsid w:val="002D1812"/>
    <w:rsid w:val="002D2BDC"/>
    <w:rsid w:val="002D35A3"/>
    <w:rsid w:val="002D3BE6"/>
    <w:rsid w:val="002D4560"/>
    <w:rsid w:val="002D4618"/>
    <w:rsid w:val="002D49E0"/>
    <w:rsid w:val="002D549F"/>
    <w:rsid w:val="002D6C51"/>
    <w:rsid w:val="002E00A0"/>
    <w:rsid w:val="002E0CE2"/>
    <w:rsid w:val="002E1089"/>
    <w:rsid w:val="002E36B8"/>
    <w:rsid w:val="002E3A2F"/>
    <w:rsid w:val="002E4171"/>
    <w:rsid w:val="002E450B"/>
    <w:rsid w:val="002E4641"/>
    <w:rsid w:val="002E48D6"/>
    <w:rsid w:val="002E5580"/>
    <w:rsid w:val="002E5CE2"/>
    <w:rsid w:val="002E6991"/>
    <w:rsid w:val="002E6B01"/>
    <w:rsid w:val="002E6DCB"/>
    <w:rsid w:val="002F017F"/>
    <w:rsid w:val="002F0E50"/>
    <w:rsid w:val="002F1400"/>
    <w:rsid w:val="002F1C9D"/>
    <w:rsid w:val="002F1FD7"/>
    <w:rsid w:val="002F3CA4"/>
    <w:rsid w:val="002F533A"/>
    <w:rsid w:val="002F74CE"/>
    <w:rsid w:val="002F7E85"/>
    <w:rsid w:val="003000E4"/>
    <w:rsid w:val="00300750"/>
    <w:rsid w:val="00300C7E"/>
    <w:rsid w:val="00303783"/>
    <w:rsid w:val="00303E70"/>
    <w:rsid w:val="0030460B"/>
    <w:rsid w:val="00305445"/>
    <w:rsid w:val="00307F94"/>
    <w:rsid w:val="003104F0"/>
    <w:rsid w:val="0031131A"/>
    <w:rsid w:val="00311555"/>
    <w:rsid w:val="00313282"/>
    <w:rsid w:val="00314276"/>
    <w:rsid w:val="003144FB"/>
    <w:rsid w:val="00314A62"/>
    <w:rsid w:val="003157BD"/>
    <w:rsid w:val="00322B66"/>
    <w:rsid w:val="0032462C"/>
    <w:rsid w:val="00326C49"/>
    <w:rsid w:val="00326F69"/>
    <w:rsid w:val="003279A2"/>
    <w:rsid w:val="00332695"/>
    <w:rsid w:val="00333553"/>
    <w:rsid w:val="003339EF"/>
    <w:rsid w:val="0033426F"/>
    <w:rsid w:val="0033538A"/>
    <w:rsid w:val="003362B3"/>
    <w:rsid w:val="00336666"/>
    <w:rsid w:val="00340B7F"/>
    <w:rsid w:val="00341001"/>
    <w:rsid w:val="0034646A"/>
    <w:rsid w:val="00346BF0"/>
    <w:rsid w:val="00346E29"/>
    <w:rsid w:val="003479CA"/>
    <w:rsid w:val="00352090"/>
    <w:rsid w:val="00352DA0"/>
    <w:rsid w:val="00352EFF"/>
    <w:rsid w:val="00354355"/>
    <w:rsid w:val="0035621B"/>
    <w:rsid w:val="00357295"/>
    <w:rsid w:val="003601AD"/>
    <w:rsid w:val="0036037B"/>
    <w:rsid w:val="00361DDE"/>
    <w:rsid w:val="0036229B"/>
    <w:rsid w:val="0036338F"/>
    <w:rsid w:val="00364740"/>
    <w:rsid w:val="003648EC"/>
    <w:rsid w:val="00364962"/>
    <w:rsid w:val="00364AEF"/>
    <w:rsid w:val="003676F2"/>
    <w:rsid w:val="003707B2"/>
    <w:rsid w:val="00370E15"/>
    <w:rsid w:val="00371690"/>
    <w:rsid w:val="00371929"/>
    <w:rsid w:val="0037431B"/>
    <w:rsid w:val="0037464D"/>
    <w:rsid w:val="003746CB"/>
    <w:rsid w:val="00375C6A"/>
    <w:rsid w:val="00380261"/>
    <w:rsid w:val="00380D87"/>
    <w:rsid w:val="0038147F"/>
    <w:rsid w:val="00382312"/>
    <w:rsid w:val="00382DD4"/>
    <w:rsid w:val="00383827"/>
    <w:rsid w:val="00383EE1"/>
    <w:rsid w:val="00384100"/>
    <w:rsid w:val="00384B66"/>
    <w:rsid w:val="00385559"/>
    <w:rsid w:val="00385CA0"/>
    <w:rsid w:val="00385EAA"/>
    <w:rsid w:val="00386637"/>
    <w:rsid w:val="003878D6"/>
    <w:rsid w:val="00390A3B"/>
    <w:rsid w:val="003925E5"/>
    <w:rsid w:val="0039377A"/>
    <w:rsid w:val="00394E08"/>
    <w:rsid w:val="003956C1"/>
    <w:rsid w:val="00397533"/>
    <w:rsid w:val="003A248D"/>
    <w:rsid w:val="003A3249"/>
    <w:rsid w:val="003A3892"/>
    <w:rsid w:val="003A4632"/>
    <w:rsid w:val="003A59DE"/>
    <w:rsid w:val="003A64A5"/>
    <w:rsid w:val="003A6CA6"/>
    <w:rsid w:val="003A78BA"/>
    <w:rsid w:val="003A792C"/>
    <w:rsid w:val="003A7F96"/>
    <w:rsid w:val="003B1D05"/>
    <w:rsid w:val="003B3830"/>
    <w:rsid w:val="003B6E7E"/>
    <w:rsid w:val="003B7D8E"/>
    <w:rsid w:val="003C08DE"/>
    <w:rsid w:val="003C3D14"/>
    <w:rsid w:val="003C3FBE"/>
    <w:rsid w:val="003C41B3"/>
    <w:rsid w:val="003C6863"/>
    <w:rsid w:val="003D055C"/>
    <w:rsid w:val="003D22C0"/>
    <w:rsid w:val="003D3877"/>
    <w:rsid w:val="003D39E2"/>
    <w:rsid w:val="003D3E65"/>
    <w:rsid w:val="003D4A54"/>
    <w:rsid w:val="003D4AC0"/>
    <w:rsid w:val="003D5277"/>
    <w:rsid w:val="003D6404"/>
    <w:rsid w:val="003D6A03"/>
    <w:rsid w:val="003D736A"/>
    <w:rsid w:val="003E0FAD"/>
    <w:rsid w:val="003E134F"/>
    <w:rsid w:val="003E18ED"/>
    <w:rsid w:val="003E1C22"/>
    <w:rsid w:val="003E2063"/>
    <w:rsid w:val="003E2CE8"/>
    <w:rsid w:val="003E59B9"/>
    <w:rsid w:val="003E6233"/>
    <w:rsid w:val="003E65E7"/>
    <w:rsid w:val="003E7C52"/>
    <w:rsid w:val="003F07DD"/>
    <w:rsid w:val="003F0E56"/>
    <w:rsid w:val="003F1A63"/>
    <w:rsid w:val="003F2C03"/>
    <w:rsid w:val="003F76B4"/>
    <w:rsid w:val="0040031B"/>
    <w:rsid w:val="00400D25"/>
    <w:rsid w:val="0040169A"/>
    <w:rsid w:val="00401AC2"/>
    <w:rsid w:val="004024B0"/>
    <w:rsid w:val="00402D9A"/>
    <w:rsid w:val="004032CC"/>
    <w:rsid w:val="0040442C"/>
    <w:rsid w:val="00404B17"/>
    <w:rsid w:val="004071A4"/>
    <w:rsid w:val="00410D7B"/>
    <w:rsid w:val="0041298D"/>
    <w:rsid w:val="00413A77"/>
    <w:rsid w:val="0041400E"/>
    <w:rsid w:val="0041549C"/>
    <w:rsid w:val="00416229"/>
    <w:rsid w:val="004162AC"/>
    <w:rsid w:val="004163E3"/>
    <w:rsid w:val="00423F68"/>
    <w:rsid w:val="00425891"/>
    <w:rsid w:val="0042631C"/>
    <w:rsid w:val="00432D6C"/>
    <w:rsid w:val="00433CD7"/>
    <w:rsid w:val="00434DEF"/>
    <w:rsid w:val="004353B2"/>
    <w:rsid w:val="004367D9"/>
    <w:rsid w:val="00436DFC"/>
    <w:rsid w:val="00436E7E"/>
    <w:rsid w:val="0043786D"/>
    <w:rsid w:val="00440485"/>
    <w:rsid w:val="0044135E"/>
    <w:rsid w:val="00442C58"/>
    <w:rsid w:val="0044318F"/>
    <w:rsid w:val="00444CA9"/>
    <w:rsid w:val="00445A4C"/>
    <w:rsid w:val="00447AA5"/>
    <w:rsid w:val="00447F83"/>
    <w:rsid w:val="00452B79"/>
    <w:rsid w:val="00454366"/>
    <w:rsid w:val="00454BC4"/>
    <w:rsid w:val="00454F49"/>
    <w:rsid w:val="004553D1"/>
    <w:rsid w:val="00455707"/>
    <w:rsid w:val="00457C62"/>
    <w:rsid w:val="004601FE"/>
    <w:rsid w:val="004606B6"/>
    <w:rsid w:val="00460B71"/>
    <w:rsid w:val="004645AD"/>
    <w:rsid w:val="004664AA"/>
    <w:rsid w:val="00466C2C"/>
    <w:rsid w:val="004678AB"/>
    <w:rsid w:val="00467B7F"/>
    <w:rsid w:val="00470A39"/>
    <w:rsid w:val="00470F58"/>
    <w:rsid w:val="0047153C"/>
    <w:rsid w:val="00471C39"/>
    <w:rsid w:val="004722FA"/>
    <w:rsid w:val="00473658"/>
    <w:rsid w:val="0047416A"/>
    <w:rsid w:val="00476181"/>
    <w:rsid w:val="00476E0C"/>
    <w:rsid w:val="004825DC"/>
    <w:rsid w:val="00482CDF"/>
    <w:rsid w:val="00483109"/>
    <w:rsid w:val="004834A5"/>
    <w:rsid w:val="0048536F"/>
    <w:rsid w:val="00486CE7"/>
    <w:rsid w:val="0049019B"/>
    <w:rsid w:val="00490C57"/>
    <w:rsid w:val="00491046"/>
    <w:rsid w:val="0049261E"/>
    <w:rsid w:val="004966C4"/>
    <w:rsid w:val="00496F56"/>
    <w:rsid w:val="004A3D6D"/>
    <w:rsid w:val="004A45B0"/>
    <w:rsid w:val="004A45B3"/>
    <w:rsid w:val="004A462B"/>
    <w:rsid w:val="004B021E"/>
    <w:rsid w:val="004B03D8"/>
    <w:rsid w:val="004B08AB"/>
    <w:rsid w:val="004B1560"/>
    <w:rsid w:val="004B342E"/>
    <w:rsid w:val="004B3F6B"/>
    <w:rsid w:val="004B51A3"/>
    <w:rsid w:val="004B5726"/>
    <w:rsid w:val="004B727C"/>
    <w:rsid w:val="004C0AE3"/>
    <w:rsid w:val="004C17EC"/>
    <w:rsid w:val="004C3E51"/>
    <w:rsid w:val="004C5660"/>
    <w:rsid w:val="004C68AE"/>
    <w:rsid w:val="004D046B"/>
    <w:rsid w:val="004D072D"/>
    <w:rsid w:val="004D1AF8"/>
    <w:rsid w:val="004D1E86"/>
    <w:rsid w:val="004D26FA"/>
    <w:rsid w:val="004D286D"/>
    <w:rsid w:val="004D28EF"/>
    <w:rsid w:val="004D2E87"/>
    <w:rsid w:val="004D50E6"/>
    <w:rsid w:val="004D5236"/>
    <w:rsid w:val="004D616F"/>
    <w:rsid w:val="004D63E8"/>
    <w:rsid w:val="004D6950"/>
    <w:rsid w:val="004D6F7B"/>
    <w:rsid w:val="004E104E"/>
    <w:rsid w:val="004E343E"/>
    <w:rsid w:val="004F09B4"/>
    <w:rsid w:val="004F0CA8"/>
    <w:rsid w:val="004F1398"/>
    <w:rsid w:val="004F15E9"/>
    <w:rsid w:val="004F2AB5"/>
    <w:rsid w:val="004F36C9"/>
    <w:rsid w:val="004F3780"/>
    <w:rsid w:val="004F3D7A"/>
    <w:rsid w:val="004F643E"/>
    <w:rsid w:val="004F7221"/>
    <w:rsid w:val="004F7C52"/>
    <w:rsid w:val="00500889"/>
    <w:rsid w:val="00501167"/>
    <w:rsid w:val="00502F77"/>
    <w:rsid w:val="00504C7B"/>
    <w:rsid w:val="0050700E"/>
    <w:rsid w:val="005076B2"/>
    <w:rsid w:val="005116FB"/>
    <w:rsid w:val="0051193D"/>
    <w:rsid w:val="0051244C"/>
    <w:rsid w:val="00512A09"/>
    <w:rsid w:val="005135B9"/>
    <w:rsid w:val="00515357"/>
    <w:rsid w:val="00515790"/>
    <w:rsid w:val="005160EE"/>
    <w:rsid w:val="0051708A"/>
    <w:rsid w:val="00521BB9"/>
    <w:rsid w:val="00522236"/>
    <w:rsid w:val="0052346F"/>
    <w:rsid w:val="005243C7"/>
    <w:rsid w:val="005256A6"/>
    <w:rsid w:val="00526552"/>
    <w:rsid w:val="00527012"/>
    <w:rsid w:val="005275EC"/>
    <w:rsid w:val="0053049E"/>
    <w:rsid w:val="005308F4"/>
    <w:rsid w:val="0053149E"/>
    <w:rsid w:val="00531E9F"/>
    <w:rsid w:val="00532D11"/>
    <w:rsid w:val="0053487B"/>
    <w:rsid w:val="00537ECA"/>
    <w:rsid w:val="0054053D"/>
    <w:rsid w:val="00540B66"/>
    <w:rsid w:val="00540C47"/>
    <w:rsid w:val="005436EC"/>
    <w:rsid w:val="00543AE7"/>
    <w:rsid w:val="0054442A"/>
    <w:rsid w:val="00546BB6"/>
    <w:rsid w:val="0055462B"/>
    <w:rsid w:val="0055495F"/>
    <w:rsid w:val="005555D8"/>
    <w:rsid w:val="0055737E"/>
    <w:rsid w:val="00557777"/>
    <w:rsid w:val="00560194"/>
    <w:rsid w:val="005602FD"/>
    <w:rsid w:val="0056074A"/>
    <w:rsid w:val="00561521"/>
    <w:rsid w:val="00561971"/>
    <w:rsid w:val="00562256"/>
    <w:rsid w:val="00562CC7"/>
    <w:rsid w:val="00563168"/>
    <w:rsid w:val="00565428"/>
    <w:rsid w:val="00565D14"/>
    <w:rsid w:val="00566FC7"/>
    <w:rsid w:val="00567227"/>
    <w:rsid w:val="0056748B"/>
    <w:rsid w:val="00567872"/>
    <w:rsid w:val="00567AC5"/>
    <w:rsid w:val="00570E2C"/>
    <w:rsid w:val="0057399B"/>
    <w:rsid w:val="00576AC9"/>
    <w:rsid w:val="00580079"/>
    <w:rsid w:val="005814E1"/>
    <w:rsid w:val="00582ADC"/>
    <w:rsid w:val="0058354D"/>
    <w:rsid w:val="00583C82"/>
    <w:rsid w:val="005848A1"/>
    <w:rsid w:val="00585FC1"/>
    <w:rsid w:val="00586699"/>
    <w:rsid w:val="005872CF"/>
    <w:rsid w:val="00590FB1"/>
    <w:rsid w:val="00595229"/>
    <w:rsid w:val="005A17ED"/>
    <w:rsid w:val="005A269B"/>
    <w:rsid w:val="005A29E7"/>
    <w:rsid w:val="005A3FF4"/>
    <w:rsid w:val="005A6A5D"/>
    <w:rsid w:val="005A6FA5"/>
    <w:rsid w:val="005A7D1E"/>
    <w:rsid w:val="005B1F35"/>
    <w:rsid w:val="005B58A9"/>
    <w:rsid w:val="005B5991"/>
    <w:rsid w:val="005B650D"/>
    <w:rsid w:val="005B69C0"/>
    <w:rsid w:val="005C0E57"/>
    <w:rsid w:val="005C1AAE"/>
    <w:rsid w:val="005C31A4"/>
    <w:rsid w:val="005C31F9"/>
    <w:rsid w:val="005C47BA"/>
    <w:rsid w:val="005C731A"/>
    <w:rsid w:val="005D12F1"/>
    <w:rsid w:val="005D1A81"/>
    <w:rsid w:val="005D2511"/>
    <w:rsid w:val="005D2D2E"/>
    <w:rsid w:val="005D6DF8"/>
    <w:rsid w:val="005D7D12"/>
    <w:rsid w:val="005D7F34"/>
    <w:rsid w:val="005E20D7"/>
    <w:rsid w:val="005E53A8"/>
    <w:rsid w:val="005E7D46"/>
    <w:rsid w:val="005F28AB"/>
    <w:rsid w:val="005F28E4"/>
    <w:rsid w:val="005F2C26"/>
    <w:rsid w:val="005F33CA"/>
    <w:rsid w:val="005F3933"/>
    <w:rsid w:val="005F422E"/>
    <w:rsid w:val="005F5DB4"/>
    <w:rsid w:val="005F75CA"/>
    <w:rsid w:val="005F7987"/>
    <w:rsid w:val="005F7F6F"/>
    <w:rsid w:val="006016A1"/>
    <w:rsid w:val="00601D78"/>
    <w:rsid w:val="00601F8E"/>
    <w:rsid w:val="0060361E"/>
    <w:rsid w:val="006041B5"/>
    <w:rsid w:val="006050DC"/>
    <w:rsid w:val="006060A0"/>
    <w:rsid w:val="00606FC9"/>
    <w:rsid w:val="0060788D"/>
    <w:rsid w:val="00607A7E"/>
    <w:rsid w:val="00610348"/>
    <w:rsid w:val="00611E7C"/>
    <w:rsid w:val="006128B4"/>
    <w:rsid w:val="00614363"/>
    <w:rsid w:val="006146D7"/>
    <w:rsid w:val="00615347"/>
    <w:rsid w:val="0061543F"/>
    <w:rsid w:val="00616F07"/>
    <w:rsid w:val="00620F5C"/>
    <w:rsid w:val="00622E9B"/>
    <w:rsid w:val="00626D4C"/>
    <w:rsid w:val="0062794B"/>
    <w:rsid w:val="00627FE1"/>
    <w:rsid w:val="00630262"/>
    <w:rsid w:val="00630277"/>
    <w:rsid w:val="006306A4"/>
    <w:rsid w:val="00630DEF"/>
    <w:rsid w:val="0063100C"/>
    <w:rsid w:val="006321AE"/>
    <w:rsid w:val="00632CF2"/>
    <w:rsid w:val="00633213"/>
    <w:rsid w:val="006335CC"/>
    <w:rsid w:val="0063421D"/>
    <w:rsid w:val="00635EDC"/>
    <w:rsid w:val="00636369"/>
    <w:rsid w:val="0064031E"/>
    <w:rsid w:val="00641B89"/>
    <w:rsid w:val="00642333"/>
    <w:rsid w:val="0064270F"/>
    <w:rsid w:val="006428DC"/>
    <w:rsid w:val="00643C7A"/>
    <w:rsid w:val="006445C3"/>
    <w:rsid w:val="00645D41"/>
    <w:rsid w:val="0064796E"/>
    <w:rsid w:val="00650B08"/>
    <w:rsid w:val="00651C77"/>
    <w:rsid w:val="00652E75"/>
    <w:rsid w:val="006543A8"/>
    <w:rsid w:val="0066003A"/>
    <w:rsid w:val="006608BC"/>
    <w:rsid w:val="00660A8C"/>
    <w:rsid w:val="00661ED1"/>
    <w:rsid w:val="00663181"/>
    <w:rsid w:val="00663C88"/>
    <w:rsid w:val="006643B3"/>
    <w:rsid w:val="00665CFF"/>
    <w:rsid w:val="00665E35"/>
    <w:rsid w:val="006663C3"/>
    <w:rsid w:val="006674DF"/>
    <w:rsid w:val="00667ADC"/>
    <w:rsid w:val="00670E1B"/>
    <w:rsid w:val="00670EF4"/>
    <w:rsid w:val="006722AD"/>
    <w:rsid w:val="00675895"/>
    <w:rsid w:val="00684468"/>
    <w:rsid w:val="00685034"/>
    <w:rsid w:val="006856FA"/>
    <w:rsid w:val="006860CF"/>
    <w:rsid w:val="00686470"/>
    <w:rsid w:val="006865BD"/>
    <w:rsid w:val="006868BA"/>
    <w:rsid w:val="00686B11"/>
    <w:rsid w:val="006901E3"/>
    <w:rsid w:val="00692128"/>
    <w:rsid w:val="006929CD"/>
    <w:rsid w:val="00693FF7"/>
    <w:rsid w:val="00697953"/>
    <w:rsid w:val="006A2982"/>
    <w:rsid w:val="006A3E83"/>
    <w:rsid w:val="006A44A2"/>
    <w:rsid w:val="006A4C9A"/>
    <w:rsid w:val="006A5C8D"/>
    <w:rsid w:val="006A6B57"/>
    <w:rsid w:val="006A75CE"/>
    <w:rsid w:val="006A7F2F"/>
    <w:rsid w:val="006B19CD"/>
    <w:rsid w:val="006B19E4"/>
    <w:rsid w:val="006B3D9E"/>
    <w:rsid w:val="006B40EB"/>
    <w:rsid w:val="006B540C"/>
    <w:rsid w:val="006B633B"/>
    <w:rsid w:val="006B6839"/>
    <w:rsid w:val="006C2A9D"/>
    <w:rsid w:val="006C4FDE"/>
    <w:rsid w:val="006C5092"/>
    <w:rsid w:val="006C52DE"/>
    <w:rsid w:val="006C6C2B"/>
    <w:rsid w:val="006D2AE7"/>
    <w:rsid w:val="006D2EC9"/>
    <w:rsid w:val="006D3BAC"/>
    <w:rsid w:val="006D47A5"/>
    <w:rsid w:val="006D6FE8"/>
    <w:rsid w:val="006D772B"/>
    <w:rsid w:val="006E0884"/>
    <w:rsid w:val="006E0DF8"/>
    <w:rsid w:val="006E1020"/>
    <w:rsid w:val="006E27B2"/>
    <w:rsid w:val="006E4262"/>
    <w:rsid w:val="006E77E3"/>
    <w:rsid w:val="006F0892"/>
    <w:rsid w:val="006F0926"/>
    <w:rsid w:val="006F0C39"/>
    <w:rsid w:val="006F1118"/>
    <w:rsid w:val="006F1E11"/>
    <w:rsid w:val="006F6969"/>
    <w:rsid w:val="006F6D75"/>
    <w:rsid w:val="0070012E"/>
    <w:rsid w:val="00701B1C"/>
    <w:rsid w:val="007024AE"/>
    <w:rsid w:val="00703614"/>
    <w:rsid w:val="0070361C"/>
    <w:rsid w:val="00703704"/>
    <w:rsid w:val="00704BB7"/>
    <w:rsid w:val="007050A0"/>
    <w:rsid w:val="00705D9B"/>
    <w:rsid w:val="007070EF"/>
    <w:rsid w:val="00707365"/>
    <w:rsid w:val="00707CE6"/>
    <w:rsid w:val="007104C0"/>
    <w:rsid w:val="00710671"/>
    <w:rsid w:val="00710C14"/>
    <w:rsid w:val="00711907"/>
    <w:rsid w:val="00713D56"/>
    <w:rsid w:val="00713F34"/>
    <w:rsid w:val="007140FD"/>
    <w:rsid w:val="00715AC6"/>
    <w:rsid w:val="0071621F"/>
    <w:rsid w:val="00717194"/>
    <w:rsid w:val="0072079D"/>
    <w:rsid w:val="00721137"/>
    <w:rsid w:val="007232B1"/>
    <w:rsid w:val="007234BF"/>
    <w:rsid w:val="007250DE"/>
    <w:rsid w:val="00726A66"/>
    <w:rsid w:val="007277CF"/>
    <w:rsid w:val="0073014C"/>
    <w:rsid w:val="00730891"/>
    <w:rsid w:val="00730D46"/>
    <w:rsid w:val="00730E5A"/>
    <w:rsid w:val="007342B6"/>
    <w:rsid w:val="0073455A"/>
    <w:rsid w:val="00734775"/>
    <w:rsid w:val="00734898"/>
    <w:rsid w:val="00736D61"/>
    <w:rsid w:val="00737A1B"/>
    <w:rsid w:val="00740913"/>
    <w:rsid w:val="007410FF"/>
    <w:rsid w:val="007419A3"/>
    <w:rsid w:val="00741A72"/>
    <w:rsid w:val="00741C90"/>
    <w:rsid w:val="007421EA"/>
    <w:rsid w:val="00743350"/>
    <w:rsid w:val="00743380"/>
    <w:rsid w:val="007438ED"/>
    <w:rsid w:val="007475F2"/>
    <w:rsid w:val="00750865"/>
    <w:rsid w:val="00751908"/>
    <w:rsid w:val="00752671"/>
    <w:rsid w:val="00753228"/>
    <w:rsid w:val="00753644"/>
    <w:rsid w:val="00753929"/>
    <w:rsid w:val="00754389"/>
    <w:rsid w:val="00754FDB"/>
    <w:rsid w:val="007609FE"/>
    <w:rsid w:val="00760A9B"/>
    <w:rsid w:val="007610C3"/>
    <w:rsid w:val="0076167E"/>
    <w:rsid w:val="00762580"/>
    <w:rsid w:val="00762BEF"/>
    <w:rsid w:val="00762F7A"/>
    <w:rsid w:val="007631B6"/>
    <w:rsid w:val="00764B0B"/>
    <w:rsid w:val="007659CA"/>
    <w:rsid w:val="00771C31"/>
    <w:rsid w:val="00773305"/>
    <w:rsid w:val="00774A87"/>
    <w:rsid w:val="00775602"/>
    <w:rsid w:val="007776C7"/>
    <w:rsid w:val="00781421"/>
    <w:rsid w:val="00782D9B"/>
    <w:rsid w:val="00782EAA"/>
    <w:rsid w:val="00782F70"/>
    <w:rsid w:val="0078324E"/>
    <w:rsid w:val="00786029"/>
    <w:rsid w:val="0078704F"/>
    <w:rsid w:val="00787094"/>
    <w:rsid w:val="007911EC"/>
    <w:rsid w:val="0079518F"/>
    <w:rsid w:val="00796A77"/>
    <w:rsid w:val="00796BA8"/>
    <w:rsid w:val="00797436"/>
    <w:rsid w:val="00797672"/>
    <w:rsid w:val="007A0AA5"/>
    <w:rsid w:val="007A2C79"/>
    <w:rsid w:val="007A2E10"/>
    <w:rsid w:val="007A69F7"/>
    <w:rsid w:val="007A6C4E"/>
    <w:rsid w:val="007A6D8A"/>
    <w:rsid w:val="007A6DD7"/>
    <w:rsid w:val="007A76E4"/>
    <w:rsid w:val="007A7DFF"/>
    <w:rsid w:val="007B2230"/>
    <w:rsid w:val="007B2B44"/>
    <w:rsid w:val="007B2EB0"/>
    <w:rsid w:val="007B36BB"/>
    <w:rsid w:val="007C1770"/>
    <w:rsid w:val="007C1E22"/>
    <w:rsid w:val="007C3888"/>
    <w:rsid w:val="007C4FB8"/>
    <w:rsid w:val="007C516E"/>
    <w:rsid w:val="007C6105"/>
    <w:rsid w:val="007C6C06"/>
    <w:rsid w:val="007C7921"/>
    <w:rsid w:val="007D0A52"/>
    <w:rsid w:val="007D13AD"/>
    <w:rsid w:val="007D1A3A"/>
    <w:rsid w:val="007D2405"/>
    <w:rsid w:val="007D25EF"/>
    <w:rsid w:val="007D3A30"/>
    <w:rsid w:val="007D5091"/>
    <w:rsid w:val="007D6062"/>
    <w:rsid w:val="007D6970"/>
    <w:rsid w:val="007D6B0B"/>
    <w:rsid w:val="007D71C7"/>
    <w:rsid w:val="007D7D13"/>
    <w:rsid w:val="007E087A"/>
    <w:rsid w:val="007E0CDD"/>
    <w:rsid w:val="007E15F7"/>
    <w:rsid w:val="007E400F"/>
    <w:rsid w:val="007E4D19"/>
    <w:rsid w:val="007E5C5F"/>
    <w:rsid w:val="007E6A04"/>
    <w:rsid w:val="007F05C5"/>
    <w:rsid w:val="007F3D6E"/>
    <w:rsid w:val="007F3E20"/>
    <w:rsid w:val="007F6006"/>
    <w:rsid w:val="007F7A28"/>
    <w:rsid w:val="00800533"/>
    <w:rsid w:val="00801C21"/>
    <w:rsid w:val="008031E8"/>
    <w:rsid w:val="00803E22"/>
    <w:rsid w:val="008045AA"/>
    <w:rsid w:val="008058A8"/>
    <w:rsid w:val="0080790F"/>
    <w:rsid w:val="008101EA"/>
    <w:rsid w:val="008103E8"/>
    <w:rsid w:val="00811EFE"/>
    <w:rsid w:val="0081289B"/>
    <w:rsid w:val="00813D93"/>
    <w:rsid w:val="00814F03"/>
    <w:rsid w:val="0081582C"/>
    <w:rsid w:val="00815D29"/>
    <w:rsid w:val="00815F25"/>
    <w:rsid w:val="008164C1"/>
    <w:rsid w:val="008168A1"/>
    <w:rsid w:val="00816BE8"/>
    <w:rsid w:val="008206BB"/>
    <w:rsid w:val="00820B59"/>
    <w:rsid w:val="008230EE"/>
    <w:rsid w:val="00826AE5"/>
    <w:rsid w:val="00826DAF"/>
    <w:rsid w:val="0082715A"/>
    <w:rsid w:val="008317D1"/>
    <w:rsid w:val="0083217D"/>
    <w:rsid w:val="008327EE"/>
    <w:rsid w:val="00836304"/>
    <w:rsid w:val="00836B5A"/>
    <w:rsid w:val="0084193E"/>
    <w:rsid w:val="00841CAD"/>
    <w:rsid w:val="00842743"/>
    <w:rsid w:val="00843EB7"/>
    <w:rsid w:val="00844820"/>
    <w:rsid w:val="00844A56"/>
    <w:rsid w:val="00844D1C"/>
    <w:rsid w:val="00846E17"/>
    <w:rsid w:val="0084712B"/>
    <w:rsid w:val="00850531"/>
    <w:rsid w:val="00850E9A"/>
    <w:rsid w:val="00853128"/>
    <w:rsid w:val="00854739"/>
    <w:rsid w:val="00855F0F"/>
    <w:rsid w:val="008578CF"/>
    <w:rsid w:val="0086029E"/>
    <w:rsid w:val="0086087B"/>
    <w:rsid w:val="00862082"/>
    <w:rsid w:val="00864088"/>
    <w:rsid w:val="00866584"/>
    <w:rsid w:val="00871F47"/>
    <w:rsid w:val="00872400"/>
    <w:rsid w:val="00873D81"/>
    <w:rsid w:val="008762C9"/>
    <w:rsid w:val="00877B0C"/>
    <w:rsid w:val="00877C22"/>
    <w:rsid w:val="0088009E"/>
    <w:rsid w:val="0088090E"/>
    <w:rsid w:val="00880DFF"/>
    <w:rsid w:val="008814AB"/>
    <w:rsid w:val="00884EEC"/>
    <w:rsid w:val="00885236"/>
    <w:rsid w:val="0088565B"/>
    <w:rsid w:val="00890D8A"/>
    <w:rsid w:val="00891208"/>
    <w:rsid w:val="00893702"/>
    <w:rsid w:val="00895056"/>
    <w:rsid w:val="00897FCB"/>
    <w:rsid w:val="008A01F2"/>
    <w:rsid w:val="008A0A0E"/>
    <w:rsid w:val="008A10C7"/>
    <w:rsid w:val="008A2CE9"/>
    <w:rsid w:val="008A67FD"/>
    <w:rsid w:val="008A78BC"/>
    <w:rsid w:val="008B06D4"/>
    <w:rsid w:val="008B1E15"/>
    <w:rsid w:val="008B3FEA"/>
    <w:rsid w:val="008B40DC"/>
    <w:rsid w:val="008B441C"/>
    <w:rsid w:val="008B6ABB"/>
    <w:rsid w:val="008B73BC"/>
    <w:rsid w:val="008C009D"/>
    <w:rsid w:val="008C0854"/>
    <w:rsid w:val="008C4763"/>
    <w:rsid w:val="008C526C"/>
    <w:rsid w:val="008C5BEE"/>
    <w:rsid w:val="008C5D06"/>
    <w:rsid w:val="008C6C56"/>
    <w:rsid w:val="008C77C9"/>
    <w:rsid w:val="008C7E2C"/>
    <w:rsid w:val="008D3201"/>
    <w:rsid w:val="008D33DC"/>
    <w:rsid w:val="008D41E2"/>
    <w:rsid w:val="008D4D65"/>
    <w:rsid w:val="008D5059"/>
    <w:rsid w:val="008D680A"/>
    <w:rsid w:val="008D7011"/>
    <w:rsid w:val="008D70E5"/>
    <w:rsid w:val="008D79DE"/>
    <w:rsid w:val="008E0C18"/>
    <w:rsid w:val="008E191D"/>
    <w:rsid w:val="008E2623"/>
    <w:rsid w:val="008E5A65"/>
    <w:rsid w:val="008E6087"/>
    <w:rsid w:val="008E618C"/>
    <w:rsid w:val="008E7138"/>
    <w:rsid w:val="008E72D5"/>
    <w:rsid w:val="008E7530"/>
    <w:rsid w:val="008F0093"/>
    <w:rsid w:val="008F0157"/>
    <w:rsid w:val="008F1170"/>
    <w:rsid w:val="008F19A1"/>
    <w:rsid w:val="008F33C3"/>
    <w:rsid w:val="008F3747"/>
    <w:rsid w:val="008F42C3"/>
    <w:rsid w:val="008F4506"/>
    <w:rsid w:val="008F51A9"/>
    <w:rsid w:val="008F56FE"/>
    <w:rsid w:val="008F6068"/>
    <w:rsid w:val="008F66C4"/>
    <w:rsid w:val="008F707F"/>
    <w:rsid w:val="009008DF"/>
    <w:rsid w:val="00901302"/>
    <w:rsid w:val="009016DF"/>
    <w:rsid w:val="0090199E"/>
    <w:rsid w:val="00903F32"/>
    <w:rsid w:val="00904A69"/>
    <w:rsid w:val="00906C23"/>
    <w:rsid w:val="0091220E"/>
    <w:rsid w:val="00912B02"/>
    <w:rsid w:val="00915E89"/>
    <w:rsid w:val="00916C73"/>
    <w:rsid w:val="009224B1"/>
    <w:rsid w:val="00924CD7"/>
    <w:rsid w:val="00925E88"/>
    <w:rsid w:val="00926382"/>
    <w:rsid w:val="009264CB"/>
    <w:rsid w:val="00930040"/>
    <w:rsid w:val="00932F0E"/>
    <w:rsid w:val="00933EE5"/>
    <w:rsid w:val="00935742"/>
    <w:rsid w:val="00936799"/>
    <w:rsid w:val="00936B56"/>
    <w:rsid w:val="00937ABE"/>
    <w:rsid w:val="00940B3E"/>
    <w:rsid w:val="00940E06"/>
    <w:rsid w:val="009411DE"/>
    <w:rsid w:val="0094129E"/>
    <w:rsid w:val="00942F71"/>
    <w:rsid w:val="00944D7D"/>
    <w:rsid w:val="00945D46"/>
    <w:rsid w:val="00946871"/>
    <w:rsid w:val="00947456"/>
    <w:rsid w:val="00947545"/>
    <w:rsid w:val="00947ACA"/>
    <w:rsid w:val="00947BD8"/>
    <w:rsid w:val="00950EC9"/>
    <w:rsid w:val="00951570"/>
    <w:rsid w:val="00952420"/>
    <w:rsid w:val="009552DC"/>
    <w:rsid w:val="00960C8E"/>
    <w:rsid w:val="009630D4"/>
    <w:rsid w:val="0096503C"/>
    <w:rsid w:val="00965719"/>
    <w:rsid w:val="009664DF"/>
    <w:rsid w:val="0096673C"/>
    <w:rsid w:val="00967571"/>
    <w:rsid w:val="009675F8"/>
    <w:rsid w:val="00973908"/>
    <w:rsid w:val="00974AF2"/>
    <w:rsid w:val="00975CC0"/>
    <w:rsid w:val="00975DDC"/>
    <w:rsid w:val="00975FBB"/>
    <w:rsid w:val="00977172"/>
    <w:rsid w:val="00977793"/>
    <w:rsid w:val="00977FD6"/>
    <w:rsid w:val="0098300F"/>
    <w:rsid w:val="00984727"/>
    <w:rsid w:val="009919ED"/>
    <w:rsid w:val="009934F8"/>
    <w:rsid w:val="0099411E"/>
    <w:rsid w:val="00994462"/>
    <w:rsid w:val="00994B3D"/>
    <w:rsid w:val="00994C22"/>
    <w:rsid w:val="0099553A"/>
    <w:rsid w:val="0099697E"/>
    <w:rsid w:val="00997378"/>
    <w:rsid w:val="009A0116"/>
    <w:rsid w:val="009A04DE"/>
    <w:rsid w:val="009A0A90"/>
    <w:rsid w:val="009A16DE"/>
    <w:rsid w:val="009A26DE"/>
    <w:rsid w:val="009A282E"/>
    <w:rsid w:val="009A3B65"/>
    <w:rsid w:val="009A4224"/>
    <w:rsid w:val="009A46DD"/>
    <w:rsid w:val="009A4C0B"/>
    <w:rsid w:val="009A6972"/>
    <w:rsid w:val="009A6CF1"/>
    <w:rsid w:val="009A7CB4"/>
    <w:rsid w:val="009B1BD8"/>
    <w:rsid w:val="009B2365"/>
    <w:rsid w:val="009B3FC7"/>
    <w:rsid w:val="009B407C"/>
    <w:rsid w:val="009B6EE8"/>
    <w:rsid w:val="009C0069"/>
    <w:rsid w:val="009C0726"/>
    <w:rsid w:val="009C0A08"/>
    <w:rsid w:val="009C1FEC"/>
    <w:rsid w:val="009C2A16"/>
    <w:rsid w:val="009C38E3"/>
    <w:rsid w:val="009C424A"/>
    <w:rsid w:val="009C50AA"/>
    <w:rsid w:val="009C7472"/>
    <w:rsid w:val="009D3D21"/>
    <w:rsid w:val="009D3F4F"/>
    <w:rsid w:val="009D43CD"/>
    <w:rsid w:val="009D5135"/>
    <w:rsid w:val="009D7B23"/>
    <w:rsid w:val="009D7DE5"/>
    <w:rsid w:val="009E144C"/>
    <w:rsid w:val="009E2457"/>
    <w:rsid w:val="009E27F2"/>
    <w:rsid w:val="009E43E5"/>
    <w:rsid w:val="009E6764"/>
    <w:rsid w:val="009E68DE"/>
    <w:rsid w:val="009E76B0"/>
    <w:rsid w:val="009F07F5"/>
    <w:rsid w:val="009F3EFA"/>
    <w:rsid w:val="009F625A"/>
    <w:rsid w:val="009F6719"/>
    <w:rsid w:val="009F6AF8"/>
    <w:rsid w:val="009F7D44"/>
    <w:rsid w:val="009F7F91"/>
    <w:rsid w:val="009F7FA6"/>
    <w:rsid w:val="00A047DA"/>
    <w:rsid w:val="00A055CC"/>
    <w:rsid w:val="00A05EE3"/>
    <w:rsid w:val="00A06376"/>
    <w:rsid w:val="00A10207"/>
    <w:rsid w:val="00A136C2"/>
    <w:rsid w:val="00A1473A"/>
    <w:rsid w:val="00A14B87"/>
    <w:rsid w:val="00A14BB7"/>
    <w:rsid w:val="00A16A35"/>
    <w:rsid w:val="00A16F1B"/>
    <w:rsid w:val="00A20B7B"/>
    <w:rsid w:val="00A21012"/>
    <w:rsid w:val="00A21DF2"/>
    <w:rsid w:val="00A22094"/>
    <w:rsid w:val="00A22BFF"/>
    <w:rsid w:val="00A23553"/>
    <w:rsid w:val="00A23AA0"/>
    <w:rsid w:val="00A24328"/>
    <w:rsid w:val="00A243B8"/>
    <w:rsid w:val="00A253A2"/>
    <w:rsid w:val="00A2752F"/>
    <w:rsid w:val="00A27EE7"/>
    <w:rsid w:val="00A31426"/>
    <w:rsid w:val="00A32302"/>
    <w:rsid w:val="00A33302"/>
    <w:rsid w:val="00A3383A"/>
    <w:rsid w:val="00A345B9"/>
    <w:rsid w:val="00A34D47"/>
    <w:rsid w:val="00A35222"/>
    <w:rsid w:val="00A3656A"/>
    <w:rsid w:val="00A36AB6"/>
    <w:rsid w:val="00A37633"/>
    <w:rsid w:val="00A41CFF"/>
    <w:rsid w:val="00A42223"/>
    <w:rsid w:val="00A42A14"/>
    <w:rsid w:val="00A4336E"/>
    <w:rsid w:val="00A446CC"/>
    <w:rsid w:val="00A45180"/>
    <w:rsid w:val="00A45D2A"/>
    <w:rsid w:val="00A464E9"/>
    <w:rsid w:val="00A5055B"/>
    <w:rsid w:val="00A50776"/>
    <w:rsid w:val="00A50E6F"/>
    <w:rsid w:val="00A51202"/>
    <w:rsid w:val="00A517EA"/>
    <w:rsid w:val="00A536A4"/>
    <w:rsid w:val="00A54E97"/>
    <w:rsid w:val="00A56429"/>
    <w:rsid w:val="00A572F4"/>
    <w:rsid w:val="00A5776F"/>
    <w:rsid w:val="00A60ACC"/>
    <w:rsid w:val="00A6109C"/>
    <w:rsid w:val="00A615FD"/>
    <w:rsid w:val="00A62507"/>
    <w:rsid w:val="00A629EB"/>
    <w:rsid w:val="00A62D39"/>
    <w:rsid w:val="00A670DD"/>
    <w:rsid w:val="00A67878"/>
    <w:rsid w:val="00A67EFF"/>
    <w:rsid w:val="00A707A8"/>
    <w:rsid w:val="00A70890"/>
    <w:rsid w:val="00A72E29"/>
    <w:rsid w:val="00A73010"/>
    <w:rsid w:val="00A73625"/>
    <w:rsid w:val="00A75785"/>
    <w:rsid w:val="00A762FF"/>
    <w:rsid w:val="00A77958"/>
    <w:rsid w:val="00A779B4"/>
    <w:rsid w:val="00A77A6D"/>
    <w:rsid w:val="00A806E1"/>
    <w:rsid w:val="00A81130"/>
    <w:rsid w:val="00A8185A"/>
    <w:rsid w:val="00A81EC0"/>
    <w:rsid w:val="00A84E7A"/>
    <w:rsid w:val="00A84FF5"/>
    <w:rsid w:val="00A852E7"/>
    <w:rsid w:val="00A863F3"/>
    <w:rsid w:val="00A87329"/>
    <w:rsid w:val="00A90324"/>
    <w:rsid w:val="00A90984"/>
    <w:rsid w:val="00A91022"/>
    <w:rsid w:val="00A91D06"/>
    <w:rsid w:val="00A92778"/>
    <w:rsid w:val="00A9378C"/>
    <w:rsid w:val="00A94AFE"/>
    <w:rsid w:val="00A94FD9"/>
    <w:rsid w:val="00A954BE"/>
    <w:rsid w:val="00A960DE"/>
    <w:rsid w:val="00A97E2D"/>
    <w:rsid w:val="00AA0A68"/>
    <w:rsid w:val="00AA4529"/>
    <w:rsid w:val="00AA479A"/>
    <w:rsid w:val="00AA6013"/>
    <w:rsid w:val="00AA784D"/>
    <w:rsid w:val="00AA7C7C"/>
    <w:rsid w:val="00AB03B0"/>
    <w:rsid w:val="00AB601E"/>
    <w:rsid w:val="00AB716E"/>
    <w:rsid w:val="00AC0B9C"/>
    <w:rsid w:val="00AC12B6"/>
    <w:rsid w:val="00AC30A4"/>
    <w:rsid w:val="00AC3B1D"/>
    <w:rsid w:val="00AC64F1"/>
    <w:rsid w:val="00AC6F67"/>
    <w:rsid w:val="00AC7841"/>
    <w:rsid w:val="00AD1D3F"/>
    <w:rsid w:val="00AD2342"/>
    <w:rsid w:val="00AD27AA"/>
    <w:rsid w:val="00AD3B24"/>
    <w:rsid w:val="00AD51D7"/>
    <w:rsid w:val="00AD57B5"/>
    <w:rsid w:val="00AE2519"/>
    <w:rsid w:val="00AE3167"/>
    <w:rsid w:val="00AE39BE"/>
    <w:rsid w:val="00AE3AB0"/>
    <w:rsid w:val="00AE4132"/>
    <w:rsid w:val="00AE42FF"/>
    <w:rsid w:val="00AF07DB"/>
    <w:rsid w:val="00AF09C3"/>
    <w:rsid w:val="00AF11BC"/>
    <w:rsid w:val="00AF3310"/>
    <w:rsid w:val="00AF4962"/>
    <w:rsid w:val="00AF59F4"/>
    <w:rsid w:val="00AF6BEA"/>
    <w:rsid w:val="00AF7CDA"/>
    <w:rsid w:val="00B01431"/>
    <w:rsid w:val="00B02CC0"/>
    <w:rsid w:val="00B02D9C"/>
    <w:rsid w:val="00B03320"/>
    <w:rsid w:val="00B03BC2"/>
    <w:rsid w:val="00B04042"/>
    <w:rsid w:val="00B055A5"/>
    <w:rsid w:val="00B05A0A"/>
    <w:rsid w:val="00B05F6A"/>
    <w:rsid w:val="00B06737"/>
    <w:rsid w:val="00B06E4E"/>
    <w:rsid w:val="00B10A23"/>
    <w:rsid w:val="00B10DDA"/>
    <w:rsid w:val="00B114F1"/>
    <w:rsid w:val="00B119A6"/>
    <w:rsid w:val="00B119F3"/>
    <w:rsid w:val="00B125D6"/>
    <w:rsid w:val="00B128E3"/>
    <w:rsid w:val="00B12DBA"/>
    <w:rsid w:val="00B13D12"/>
    <w:rsid w:val="00B14CCD"/>
    <w:rsid w:val="00B16740"/>
    <w:rsid w:val="00B1748D"/>
    <w:rsid w:val="00B17665"/>
    <w:rsid w:val="00B17DE3"/>
    <w:rsid w:val="00B22873"/>
    <w:rsid w:val="00B228ED"/>
    <w:rsid w:val="00B23742"/>
    <w:rsid w:val="00B2407E"/>
    <w:rsid w:val="00B25076"/>
    <w:rsid w:val="00B26894"/>
    <w:rsid w:val="00B2785C"/>
    <w:rsid w:val="00B27D0B"/>
    <w:rsid w:val="00B31091"/>
    <w:rsid w:val="00B317DB"/>
    <w:rsid w:val="00B33194"/>
    <w:rsid w:val="00B349BB"/>
    <w:rsid w:val="00B36432"/>
    <w:rsid w:val="00B36912"/>
    <w:rsid w:val="00B37501"/>
    <w:rsid w:val="00B42797"/>
    <w:rsid w:val="00B42E88"/>
    <w:rsid w:val="00B43391"/>
    <w:rsid w:val="00B43B1E"/>
    <w:rsid w:val="00B51E6A"/>
    <w:rsid w:val="00B52F48"/>
    <w:rsid w:val="00B53B2E"/>
    <w:rsid w:val="00B53F7A"/>
    <w:rsid w:val="00B60675"/>
    <w:rsid w:val="00B60E77"/>
    <w:rsid w:val="00B621DB"/>
    <w:rsid w:val="00B623FE"/>
    <w:rsid w:val="00B62736"/>
    <w:rsid w:val="00B63DBA"/>
    <w:rsid w:val="00B6469C"/>
    <w:rsid w:val="00B67881"/>
    <w:rsid w:val="00B678B9"/>
    <w:rsid w:val="00B67F21"/>
    <w:rsid w:val="00B705F3"/>
    <w:rsid w:val="00B70F13"/>
    <w:rsid w:val="00B71D40"/>
    <w:rsid w:val="00B72D0A"/>
    <w:rsid w:val="00B731DB"/>
    <w:rsid w:val="00B752D9"/>
    <w:rsid w:val="00B76BB6"/>
    <w:rsid w:val="00B776B5"/>
    <w:rsid w:val="00B813CC"/>
    <w:rsid w:val="00B84C6F"/>
    <w:rsid w:val="00B86976"/>
    <w:rsid w:val="00B87DEF"/>
    <w:rsid w:val="00B87E9A"/>
    <w:rsid w:val="00B9067D"/>
    <w:rsid w:val="00B92734"/>
    <w:rsid w:val="00B92AC3"/>
    <w:rsid w:val="00B92D92"/>
    <w:rsid w:val="00B967E4"/>
    <w:rsid w:val="00B97F1B"/>
    <w:rsid w:val="00BA0163"/>
    <w:rsid w:val="00BA034C"/>
    <w:rsid w:val="00BA10A2"/>
    <w:rsid w:val="00BA42BB"/>
    <w:rsid w:val="00BA4C20"/>
    <w:rsid w:val="00BA5725"/>
    <w:rsid w:val="00BA5E3E"/>
    <w:rsid w:val="00BA661A"/>
    <w:rsid w:val="00BA7039"/>
    <w:rsid w:val="00BA74C3"/>
    <w:rsid w:val="00BB1615"/>
    <w:rsid w:val="00BB1A4E"/>
    <w:rsid w:val="00BB2CFE"/>
    <w:rsid w:val="00BB2DC3"/>
    <w:rsid w:val="00BB36D4"/>
    <w:rsid w:val="00BB3CB7"/>
    <w:rsid w:val="00BB5B95"/>
    <w:rsid w:val="00BB5D1C"/>
    <w:rsid w:val="00BB6DAC"/>
    <w:rsid w:val="00BB7F33"/>
    <w:rsid w:val="00BC054D"/>
    <w:rsid w:val="00BC0C17"/>
    <w:rsid w:val="00BC2326"/>
    <w:rsid w:val="00BC2CDB"/>
    <w:rsid w:val="00BC35F5"/>
    <w:rsid w:val="00BC5986"/>
    <w:rsid w:val="00BC63E3"/>
    <w:rsid w:val="00BC6B5E"/>
    <w:rsid w:val="00BC6CF1"/>
    <w:rsid w:val="00BD0E96"/>
    <w:rsid w:val="00BD2684"/>
    <w:rsid w:val="00BD28BC"/>
    <w:rsid w:val="00BD395A"/>
    <w:rsid w:val="00BD4A2F"/>
    <w:rsid w:val="00BD5A2C"/>
    <w:rsid w:val="00BD661D"/>
    <w:rsid w:val="00BD6B8E"/>
    <w:rsid w:val="00BD71D4"/>
    <w:rsid w:val="00BD7AD4"/>
    <w:rsid w:val="00BE08D4"/>
    <w:rsid w:val="00BE11B4"/>
    <w:rsid w:val="00BE2E83"/>
    <w:rsid w:val="00BE38C2"/>
    <w:rsid w:val="00BE3B0C"/>
    <w:rsid w:val="00BE4B12"/>
    <w:rsid w:val="00BE4F3B"/>
    <w:rsid w:val="00BE7024"/>
    <w:rsid w:val="00BE717B"/>
    <w:rsid w:val="00BE7242"/>
    <w:rsid w:val="00BF0704"/>
    <w:rsid w:val="00BF1A8D"/>
    <w:rsid w:val="00BF1AF2"/>
    <w:rsid w:val="00BF1C90"/>
    <w:rsid w:val="00BF1D21"/>
    <w:rsid w:val="00BF2340"/>
    <w:rsid w:val="00BF32D6"/>
    <w:rsid w:val="00BF4EAA"/>
    <w:rsid w:val="00BF75BC"/>
    <w:rsid w:val="00BF79DE"/>
    <w:rsid w:val="00C0169B"/>
    <w:rsid w:val="00C01975"/>
    <w:rsid w:val="00C0299F"/>
    <w:rsid w:val="00C06F46"/>
    <w:rsid w:val="00C10617"/>
    <w:rsid w:val="00C11EC8"/>
    <w:rsid w:val="00C12177"/>
    <w:rsid w:val="00C135B2"/>
    <w:rsid w:val="00C15BE9"/>
    <w:rsid w:val="00C162A8"/>
    <w:rsid w:val="00C162F8"/>
    <w:rsid w:val="00C16621"/>
    <w:rsid w:val="00C1664B"/>
    <w:rsid w:val="00C16A1E"/>
    <w:rsid w:val="00C20AF3"/>
    <w:rsid w:val="00C2565C"/>
    <w:rsid w:val="00C25664"/>
    <w:rsid w:val="00C26667"/>
    <w:rsid w:val="00C270AC"/>
    <w:rsid w:val="00C3080A"/>
    <w:rsid w:val="00C33CE7"/>
    <w:rsid w:val="00C33DDC"/>
    <w:rsid w:val="00C34A76"/>
    <w:rsid w:val="00C35662"/>
    <w:rsid w:val="00C35B03"/>
    <w:rsid w:val="00C35F36"/>
    <w:rsid w:val="00C41199"/>
    <w:rsid w:val="00C45067"/>
    <w:rsid w:val="00C45ABC"/>
    <w:rsid w:val="00C45DD9"/>
    <w:rsid w:val="00C4652D"/>
    <w:rsid w:val="00C505A2"/>
    <w:rsid w:val="00C52749"/>
    <w:rsid w:val="00C52E18"/>
    <w:rsid w:val="00C52E56"/>
    <w:rsid w:val="00C56535"/>
    <w:rsid w:val="00C565AC"/>
    <w:rsid w:val="00C61A65"/>
    <w:rsid w:val="00C620AC"/>
    <w:rsid w:val="00C6234F"/>
    <w:rsid w:val="00C62609"/>
    <w:rsid w:val="00C62C2A"/>
    <w:rsid w:val="00C652F7"/>
    <w:rsid w:val="00C66966"/>
    <w:rsid w:val="00C677AE"/>
    <w:rsid w:val="00C71181"/>
    <w:rsid w:val="00C721F3"/>
    <w:rsid w:val="00C7402B"/>
    <w:rsid w:val="00C74F20"/>
    <w:rsid w:val="00C77D61"/>
    <w:rsid w:val="00C80E1E"/>
    <w:rsid w:val="00C82540"/>
    <w:rsid w:val="00C82774"/>
    <w:rsid w:val="00C834AA"/>
    <w:rsid w:val="00C848E9"/>
    <w:rsid w:val="00C85486"/>
    <w:rsid w:val="00C85653"/>
    <w:rsid w:val="00C857CB"/>
    <w:rsid w:val="00C8655D"/>
    <w:rsid w:val="00C906BF"/>
    <w:rsid w:val="00C91C35"/>
    <w:rsid w:val="00C93035"/>
    <w:rsid w:val="00C96ABF"/>
    <w:rsid w:val="00C9720D"/>
    <w:rsid w:val="00C97245"/>
    <w:rsid w:val="00CA0B84"/>
    <w:rsid w:val="00CA338C"/>
    <w:rsid w:val="00CA3C38"/>
    <w:rsid w:val="00CA4C00"/>
    <w:rsid w:val="00CA4D14"/>
    <w:rsid w:val="00CA5164"/>
    <w:rsid w:val="00CA5F00"/>
    <w:rsid w:val="00CA61F0"/>
    <w:rsid w:val="00CA6DDB"/>
    <w:rsid w:val="00CB11D4"/>
    <w:rsid w:val="00CB1D49"/>
    <w:rsid w:val="00CB5609"/>
    <w:rsid w:val="00CB6101"/>
    <w:rsid w:val="00CB780E"/>
    <w:rsid w:val="00CC075E"/>
    <w:rsid w:val="00CC0C62"/>
    <w:rsid w:val="00CC15E5"/>
    <w:rsid w:val="00CC1C35"/>
    <w:rsid w:val="00CC44EF"/>
    <w:rsid w:val="00CC4630"/>
    <w:rsid w:val="00CC467B"/>
    <w:rsid w:val="00CC7006"/>
    <w:rsid w:val="00CC7016"/>
    <w:rsid w:val="00CC77DF"/>
    <w:rsid w:val="00CD2E13"/>
    <w:rsid w:val="00CD2EDF"/>
    <w:rsid w:val="00CD3315"/>
    <w:rsid w:val="00CD46F3"/>
    <w:rsid w:val="00CD48FF"/>
    <w:rsid w:val="00CD7576"/>
    <w:rsid w:val="00CE0FDB"/>
    <w:rsid w:val="00CE1425"/>
    <w:rsid w:val="00CE1C98"/>
    <w:rsid w:val="00CE5082"/>
    <w:rsid w:val="00CE5810"/>
    <w:rsid w:val="00CE5C92"/>
    <w:rsid w:val="00CE72A4"/>
    <w:rsid w:val="00CE7406"/>
    <w:rsid w:val="00CE794E"/>
    <w:rsid w:val="00CF057B"/>
    <w:rsid w:val="00CF1775"/>
    <w:rsid w:val="00CF33F4"/>
    <w:rsid w:val="00CF3E68"/>
    <w:rsid w:val="00CF50FA"/>
    <w:rsid w:val="00CF5FC0"/>
    <w:rsid w:val="00CF63C5"/>
    <w:rsid w:val="00CF79AB"/>
    <w:rsid w:val="00D01071"/>
    <w:rsid w:val="00D01D2D"/>
    <w:rsid w:val="00D02FC1"/>
    <w:rsid w:val="00D03281"/>
    <w:rsid w:val="00D03CC0"/>
    <w:rsid w:val="00D052C1"/>
    <w:rsid w:val="00D05874"/>
    <w:rsid w:val="00D05B9A"/>
    <w:rsid w:val="00D05D88"/>
    <w:rsid w:val="00D10574"/>
    <w:rsid w:val="00D10DDF"/>
    <w:rsid w:val="00D11244"/>
    <w:rsid w:val="00D11D95"/>
    <w:rsid w:val="00D127CF"/>
    <w:rsid w:val="00D14562"/>
    <w:rsid w:val="00D16389"/>
    <w:rsid w:val="00D16752"/>
    <w:rsid w:val="00D16F30"/>
    <w:rsid w:val="00D2236C"/>
    <w:rsid w:val="00D23703"/>
    <w:rsid w:val="00D237D4"/>
    <w:rsid w:val="00D24A6E"/>
    <w:rsid w:val="00D24B8E"/>
    <w:rsid w:val="00D24DB8"/>
    <w:rsid w:val="00D253E1"/>
    <w:rsid w:val="00D25A4C"/>
    <w:rsid w:val="00D26F68"/>
    <w:rsid w:val="00D2747C"/>
    <w:rsid w:val="00D3269B"/>
    <w:rsid w:val="00D35A88"/>
    <w:rsid w:val="00D373E0"/>
    <w:rsid w:val="00D40078"/>
    <w:rsid w:val="00D40133"/>
    <w:rsid w:val="00D40FAB"/>
    <w:rsid w:val="00D419DA"/>
    <w:rsid w:val="00D43783"/>
    <w:rsid w:val="00D44275"/>
    <w:rsid w:val="00D46199"/>
    <w:rsid w:val="00D511AD"/>
    <w:rsid w:val="00D5128C"/>
    <w:rsid w:val="00D52D6F"/>
    <w:rsid w:val="00D53289"/>
    <w:rsid w:val="00D53BCA"/>
    <w:rsid w:val="00D54ED9"/>
    <w:rsid w:val="00D553A0"/>
    <w:rsid w:val="00D55ADC"/>
    <w:rsid w:val="00D55E78"/>
    <w:rsid w:val="00D56B24"/>
    <w:rsid w:val="00D60D87"/>
    <w:rsid w:val="00D61B5C"/>
    <w:rsid w:val="00D620C5"/>
    <w:rsid w:val="00D70BAA"/>
    <w:rsid w:val="00D70FC5"/>
    <w:rsid w:val="00D721B7"/>
    <w:rsid w:val="00D721BF"/>
    <w:rsid w:val="00D7234D"/>
    <w:rsid w:val="00D72854"/>
    <w:rsid w:val="00D7364C"/>
    <w:rsid w:val="00D756B6"/>
    <w:rsid w:val="00D756F0"/>
    <w:rsid w:val="00D7783E"/>
    <w:rsid w:val="00D80166"/>
    <w:rsid w:val="00D80A6A"/>
    <w:rsid w:val="00D81151"/>
    <w:rsid w:val="00D81E03"/>
    <w:rsid w:val="00D82A1B"/>
    <w:rsid w:val="00D84549"/>
    <w:rsid w:val="00D878A0"/>
    <w:rsid w:val="00D9196B"/>
    <w:rsid w:val="00D91AE0"/>
    <w:rsid w:val="00D92148"/>
    <w:rsid w:val="00D923D5"/>
    <w:rsid w:val="00D928DE"/>
    <w:rsid w:val="00D941AB"/>
    <w:rsid w:val="00D9459D"/>
    <w:rsid w:val="00D952F1"/>
    <w:rsid w:val="00D961A4"/>
    <w:rsid w:val="00D974B7"/>
    <w:rsid w:val="00DA05C1"/>
    <w:rsid w:val="00DA0B32"/>
    <w:rsid w:val="00DA3AAA"/>
    <w:rsid w:val="00DA4056"/>
    <w:rsid w:val="00DA5019"/>
    <w:rsid w:val="00DA50A7"/>
    <w:rsid w:val="00DA7B48"/>
    <w:rsid w:val="00DB01B5"/>
    <w:rsid w:val="00DB0BA5"/>
    <w:rsid w:val="00DB1A72"/>
    <w:rsid w:val="00DB338E"/>
    <w:rsid w:val="00DB4006"/>
    <w:rsid w:val="00DB4778"/>
    <w:rsid w:val="00DB489B"/>
    <w:rsid w:val="00DB4A0B"/>
    <w:rsid w:val="00DB5AF4"/>
    <w:rsid w:val="00DB703A"/>
    <w:rsid w:val="00DC025E"/>
    <w:rsid w:val="00DC40F2"/>
    <w:rsid w:val="00DC4442"/>
    <w:rsid w:val="00DC4C3F"/>
    <w:rsid w:val="00DC7973"/>
    <w:rsid w:val="00DD0180"/>
    <w:rsid w:val="00DD0F24"/>
    <w:rsid w:val="00DD18F7"/>
    <w:rsid w:val="00DD309F"/>
    <w:rsid w:val="00DD6646"/>
    <w:rsid w:val="00DD6851"/>
    <w:rsid w:val="00DD7201"/>
    <w:rsid w:val="00DD72DF"/>
    <w:rsid w:val="00DD7680"/>
    <w:rsid w:val="00DE2133"/>
    <w:rsid w:val="00DE2D01"/>
    <w:rsid w:val="00DE3F72"/>
    <w:rsid w:val="00DE460A"/>
    <w:rsid w:val="00DE54E5"/>
    <w:rsid w:val="00DF11E2"/>
    <w:rsid w:val="00DF150D"/>
    <w:rsid w:val="00DF5C74"/>
    <w:rsid w:val="00E01AF9"/>
    <w:rsid w:val="00E02919"/>
    <w:rsid w:val="00E03A7A"/>
    <w:rsid w:val="00E03C22"/>
    <w:rsid w:val="00E04255"/>
    <w:rsid w:val="00E059D8"/>
    <w:rsid w:val="00E05BCA"/>
    <w:rsid w:val="00E0622F"/>
    <w:rsid w:val="00E06F22"/>
    <w:rsid w:val="00E07867"/>
    <w:rsid w:val="00E123D7"/>
    <w:rsid w:val="00E12701"/>
    <w:rsid w:val="00E1401B"/>
    <w:rsid w:val="00E14199"/>
    <w:rsid w:val="00E14D7C"/>
    <w:rsid w:val="00E1582E"/>
    <w:rsid w:val="00E15E6C"/>
    <w:rsid w:val="00E17B80"/>
    <w:rsid w:val="00E229D4"/>
    <w:rsid w:val="00E22BDA"/>
    <w:rsid w:val="00E230C0"/>
    <w:rsid w:val="00E24702"/>
    <w:rsid w:val="00E260E2"/>
    <w:rsid w:val="00E27025"/>
    <w:rsid w:val="00E27DCD"/>
    <w:rsid w:val="00E325A7"/>
    <w:rsid w:val="00E32A5E"/>
    <w:rsid w:val="00E32C0A"/>
    <w:rsid w:val="00E33F8B"/>
    <w:rsid w:val="00E34C07"/>
    <w:rsid w:val="00E34CCA"/>
    <w:rsid w:val="00E36172"/>
    <w:rsid w:val="00E41DC6"/>
    <w:rsid w:val="00E432B6"/>
    <w:rsid w:val="00E433EB"/>
    <w:rsid w:val="00E4387D"/>
    <w:rsid w:val="00E4412C"/>
    <w:rsid w:val="00E448C0"/>
    <w:rsid w:val="00E457A7"/>
    <w:rsid w:val="00E502B1"/>
    <w:rsid w:val="00E518CF"/>
    <w:rsid w:val="00E53CF5"/>
    <w:rsid w:val="00E5511D"/>
    <w:rsid w:val="00E563B1"/>
    <w:rsid w:val="00E56DFC"/>
    <w:rsid w:val="00E57F6B"/>
    <w:rsid w:val="00E60394"/>
    <w:rsid w:val="00E61299"/>
    <w:rsid w:val="00E61884"/>
    <w:rsid w:val="00E6240B"/>
    <w:rsid w:val="00E63326"/>
    <w:rsid w:val="00E64F6D"/>
    <w:rsid w:val="00E652C8"/>
    <w:rsid w:val="00E65988"/>
    <w:rsid w:val="00E67E78"/>
    <w:rsid w:val="00E70A73"/>
    <w:rsid w:val="00E73FAD"/>
    <w:rsid w:val="00E741D0"/>
    <w:rsid w:val="00E74560"/>
    <w:rsid w:val="00E756D5"/>
    <w:rsid w:val="00E77C73"/>
    <w:rsid w:val="00E80F35"/>
    <w:rsid w:val="00E84387"/>
    <w:rsid w:val="00E8601B"/>
    <w:rsid w:val="00E86F93"/>
    <w:rsid w:val="00E8785E"/>
    <w:rsid w:val="00E9033E"/>
    <w:rsid w:val="00E90689"/>
    <w:rsid w:val="00E92432"/>
    <w:rsid w:val="00E928AE"/>
    <w:rsid w:val="00E934EE"/>
    <w:rsid w:val="00E94DA2"/>
    <w:rsid w:val="00E95166"/>
    <w:rsid w:val="00E95D30"/>
    <w:rsid w:val="00E97F04"/>
    <w:rsid w:val="00EA21F8"/>
    <w:rsid w:val="00EA3307"/>
    <w:rsid w:val="00EA3547"/>
    <w:rsid w:val="00EA38EC"/>
    <w:rsid w:val="00EA3AEF"/>
    <w:rsid w:val="00EA4E5D"/>
    <w:rsid w:val="00EA618A"/>
    <w:rsid w:val="00EA6FD7"/>
    <w:rsid w:val="00EA781D"/>
    <w:rsid w:val="00EA78D0"/>
    <w:rsid w:val="00EB024C"/>
    <w:rsid w:val="00EB03F8"/>
    <w:rsid w:val="00EB46C6"/>
    <w:rsid w:val="00EB529C"/>
    <w:rsid w:val="00EB64DE"/>
    <w:rsid w:val="00EB6694"/>
    <w:rsid w:val="00EB6695"/>
    <w:rsid w:val="00EC091E"/>
    <w:rsid w:val="00EC1BD6"/>
    <w:rsid w:val="00EC5C48"/>
    <w:rsid w:val="00EC6F64"/>
    <w:rsid w:val="00ED3098"/>
    <w:rsid w:val="00ED30E7"/>
    <w:rsid w:val="00ED76F1"/>
    <w:rsid w:val="00ED7B5A"/>
    <w:rsid w:val="00EE0108"/>
    <w:rsid w:val="00EE0178"/>
    <w:rsid w:val="00EE034B"/>
    <w:rsid w:val="00EE0E76"/>
    <w:rsid w:val="00EE10E5"/>
    <w:rsid w:val="00EE11E0"/>
    <w:rsid w:val="00EE1561"/>
    <w:rsid w:val="00EE1938"/>
    <w:rsid w:val="00EE2D70"/>
    <w:rsid w:val="00EE2F69"/>
    <w:rsid w:val="00EE3CA0"/>
    <w:rsid w:val="00EE641D"/>
    <w:rsid w:val="00EE66B7"/>
    <w:rsid w:val="00EE6A96"/>
    <w:rsid w:val="00EF00C5"/>
    <w:rsid w:val="00EF1207"/>
    <w:rsid w:val="00EF1507"/>
    <w:rsid w:val="00EF1EE9"/>
    <w:rsid w:val="00EF28DA"/>
    <w:rsid w:val="00EF3E21"/>
    <w:rsid w:val="00EF3FF1"/>
    <w:rsid w:val="00EF4B07"/>
    <w:rsid w:val="00EF5808"/>
    <w:rsid w:val="00EF65E6"/>
    <w:rsid w:val="00EF6A10"/>
    <w:rsid w:val="00EF7B89"/>
    <w:rsid w:val="00F0012E"/>
    <w:rsid w:val="00F01174"/>
    <w:rsid w:val="00F01B52"/>
    <w:rsid w:val="00F01C9C"/>
    <w:rsid w:val="00F023DD"/>
    <w:rsid w:val="00F02B10"/>
    <w:rsid w:val="00F02C13"/>
    <w:rsid w:val="00F03540"/>
    <w:rsid w:val="00F0389E"/>
    <w:rsid w:val="00F03C58"/>
    <w:rsid w:val="00F04219"/>
    <w:rsid w:val="00F0611E"/>
    <w:rsid w:val="00F0686D"/>
    <w:rsid w:val="00F06B1C"/>
    <w:rsid w:val="00F1189C"/>
    <w:rsid w:val="00F11A18"/>
    <w:rsid w:val="00F139A0"/>
    <w:rsid w:val="00F14270"/>
    <w:rsid w:val="00F14EAC"/>
    <w:rsid w:val="00F15217"/>
    <w:rsid w:val="00F15DBB"/>
    <w:rsid w:val="00F21A4E"/>
    <w:rsid w:val="00F21A60"/>
    <w:rsid w:val="00F22673"/>
    <w:rsid w:val="00F308AB"/>
    <w:rsid w:val="00F30FD4"/>
    <w:rsid w:val="00F31072"/>
    <w:rsid w:val="00F3188C"/>
    <w:rsid w:val="00F32ED9"/>
    <w:rsid w:val="00F330AE"/>
    <w:rsid w:val="00F33D30"/>
    <w:rsid w:val="00F34102"/>
    <w:rsid w:val="00F346F7"/>
    <w:rsid w:val="00F35774"/>
    <w:rsid w:val="00F359B1"/>
    <w:rsid w:val="00F35A60"/>
    <w:rsid w:val="00F3678E"/>
    <w:rsid w:val="00F370F1"/>
    <w:rsid w:val="00F4034C"/>
    <w:rsid w:val="00F4051F"/>
    <w:rsid w:val="00F4198A"/>
    <w:rsid w:val="00F427DF"/>
    <w:rsid w:val="00F434BA"/>
    <w:rsid w:val="00F4352B"/>
    <w:rsid w:val="00F43E86"/>
    <w:rsid w:val="00F440DD"/>
    <w:rsid w:val="00F46563"/>
    <w:rsid w:val="00F46CCF"/>
    <w:rsid w:val="00F4709A"/>
    <w:rsid w:val="00F478FE"/>
    <w:rsid w:val="00F500E6"/>
    <w:rsid w:val="00F507E3"/>
    <w:rsid w:val="00F508A8"/>
    <w:rsid w:val="00F50F28"/>
    <w:rsid w:val="00F51FB6"/>
    <w:rsid w:val="00F52412"/>
    <w:rsid w:val="00F54810"/>
    <w:rsid w:val="00F54B4C"/>
    <w:rsid w:val="00F54E6F"/>
    <w:rsid w:val="00F5506B"/>
    <w:rsid w:val="00F55AF4"/>
    <w:rsid w:val="00F56233"/>
    <w:rsid w:val="00F56591"/>
    <w:rsid w:val="00F56652"/>
    <w:rsid w:val="00F576B6"/>
    <w:rsid w:val="00F57933"/>
    <w:rsid w:val="00F579BF"/>
    <w:rsid w:val="00F57B6A"/>
    <w:rsid w:val="00F57F2A"/>
    <w:rsid w:val="00F60108"/>
    <w:rsid w:val="00F6103A"/>
    <w:rsid w:val="00F64E88"/>
    <w:rsid w:val="00F7036A"/>
    <w:rsid w:val="00F7242D"/>
    <w:rsid w:val="00F7267C"/>
    <w:rsid w:val="00F72AD2"/>
    <w:rsid w:val="00F72DCA"/>
    <w:rsid w:val="00F74A50"/>
    <w:rsid w:val="00F80EE5"/>
    <w:rsid w:val="00F8170E"/>
    <w:rsid w:val="00F82719"/>
    <w:rsid w:val="00F82D93"/>
    <w:rsid w:val="00F839E3"/>
    <w:rsid w:val="00F850B3"/>
    <w:rsid w:val="00F86B68"/>
    <w:rsid w:val="00F86E4F"/>
    <w:rsid w:val="00F904A7"/>
    <w:rsid w:val="00F9106E"/>
    <w:rsid w:val="00F9176A"/>
    <w:rsid w:val="00F926DB"/>
    <w:rsid w:val="00F929F2"/>
    <w:rsid w:val="00F92B5B"/>
    <w:rsid w:val="00F94CFD"/>
    <w:rsid w:val="00F95F21"/>
    <w:rsid w:val="00F96189"/>
    <w:rsid w:val="00F96E46"/>
    <w:rsid w:val="00FA0704"/>
    <w:rsid w:val="00FA0882"/>
    <w:rsid w:val="00FA0F7B"/>
    <w:rsid w:val="00FA161C"/>
    <w:rsid w:val="00FA1BC2"/>
    <w:rsid w:val="00FA3DA3"/>
    <w:rsid w:val="00FA3FCA"/>
    <w:rsid w:val="00FA57CA"/>
    <w:rsid w:val="00FA667E"/>
    <w:rsid w:val="00FB0088"/>
    <w:rsid w:val="00FB0694"/>
    <w:rsid w:val="00FB0760"/>
    <w:rsid w:val="00FB393D"/>
    <w:rsid w:val="00FB4298"/>
    <w:rsid w:val="00FB56C7"/>
    <w:rsid w:val="00FB5E1B"/>
    <w:rsid w:val="00FB7CDF"/>
    <w:rsid w:val="00FC0F68"/>
    <w:rsid w:val="00FC2865"/>
    <w:rsid w:val="00FC3450"/>
    <w:rsid w:val="00FC3BD7"/>
    <w:rsid w:val="00FC3D6E"/>
    <w:rsid w:val="00FC3EC7"/>
    <w:rsid w:val="00FC3EE9"/>
    <w:rsid w:val="00FC42DF"/>
    <w:rsid w:val="00FD06F1"/>
    <w:rsid w:val="00FD093E"/>
    <w:rsid w:val="00FD131D"/>
    <w:rsid w:val="00FD1BFD"/>
    <w:rsid w:val="00FD450E"/>
    <w:rsid w:val="00FD46D0"/>
    <w:rsid w:val="00FD6FFE"/>
    <w:rsid w:val="00FE0D65"/>
    <w:rsid w:val="00FE14E6"/>
    <w:rsid w:val="00FE1F18"/>
    <w:rsid w:val="00FE2B53"/>
    <w:rsid w:val="00FE3399"/>
    <w:rsid w:val="00FE36AF"/>
    <w:rsid w:val="00FE387A"/>
    <w:rsid w:val="00FE4966"/>
    <w:rsid w:val="00FE5C5E"/>
    <w:rsid w:val="00FE60EB"/>
    <w:rsid w:val="00FE7927"/>
    <w:rsid w:val="00FF0DAA"/>
    <w:rsid w:val="00FF3E76"/>
    <w:rsid w:val="00FF54A2"/>
    <w:rsid w:val="00FF759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96174D4"/>
  <w15:docId w15:val="{CC0DDFD3-BF22-4B15-8C64-0692A1C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C31"/>
    <w:pPr>
      <w:ind w:left="720"/>
      <w:contextualSpacing/>
    </w:pPr>
  </w:style>
  <w:style w:type="paragraph" w:styleId="BalloonText">
    <w:name w:val="Balloon Text"/>
    <w:basedOn w:val="Normal"/>
    <w:link w:val="BalloonTextChar"/>
    <w:uiPriority w:val="99"/>
    <w:semiHidden/>
    <w:unhideWhenUsed/>
    <w:rsid w:val="00FE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53"/>
    <w:rPr>
      <w:rFonts w:ascii="Tahoma" w:hAnsi="Tahoma" w:cs="Tahoma"/>
      <w:sz w:val="16"/>
      <w:szCs w:val="16"/>
    </w:rPr>
  </w:style>
  <w:style w:type="paragraph" w:styleId="Header">
    <w:name w:val="header"/>
    <w:basedOn w:val="Normal"/>
    <w:link w:val="HeaderChar"/>
    <w:uiPriority w:val="99"/>
    <w:unhideWhenUsed/>
    <w:rsid w:val="004D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36"/>
  </w:style>
  <w:style w:type="paragraph" w:styleId="Footer">
    <w:name w:val="footer"/>
    <w:basedOn w:val="Normal"/>
    <w:link w:val="FooterChar"/>
    <w:unhideWhenUsed/>
    <w:rsid w:val="004D5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236"/>
  </w:style>
  <w:style w:type="paragraph" w:customStyle="1" w:styleId="Default">
    <w:name w:val="Default"/>
    <w:rsid w:val="001A079A"/>
    <w:pPr>
      <w:autoSpaceDE w:val="0"/>
      <w:autoSpaceDN w:val="0"/>
      <w:adjustRightInd w:val="0"/>
      <w:spacing w:after="0" w:line="240" w:lineRule="auto"/>
    </w:pPr>
    <w:rPr>
      <w:rFonts w:ascii="Times New Roman" w:hAnsi="Times New Roman" w:cs="Times New Roman"/>
      <w:color w:val="000000"/>
      <w:sz w:val="24"/>
      <w:szCs w:val="24"/>
    </w:rPr>
  </w:style>
  <w:style w:type="character" w:styleId="IntenseReference">
    <w:name w:val="Intense Reference"/>
    <w:basedOn w:val="DefaultParagraphFont"/>
    <w:uiPriority w:val="32"/>
    <w:qFormat/>
    <w:rsid w:val="000975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433">
      <w:bodyDiv w:val="1"/>
      <w:marLeft w:val="0"/>
      <w:marRight w:val="0"/>
      <w:marTop w:val="0"/>
      <w:marBottom w:val="0"/>
      <w:divBdr>
        <w:top w:val="none" w:sz="0" w:space="0" w:color="auto"/>
        <w:left w:val="none" w:sz="0" w:space="0" w:color="auto"/>
        <w:bottom w:val="none" w:sz="0" w:space="0" w:color="auto"/>
        <w:right w:val="none" w:sz="0" w:space="0" w:color="auto"/>
      </w:divBdr>
    </w:div>
    <w:div w:id="47415136">
      <w:bodyDiv w:val="1"/>
      <w:marLeft w:val="0"/>
      <w:marRight w:val="0"/>
      <w:marTop w:val="0"/>
      <w:marBottom w:val="0"/>
      <w:divBdr>
        <w:top w:val="none" w:sz="0" w:space="0" w:color="auto"/>
        <w:left w:val="none" w:sz="0" w:space="0" w:color="auto"/>
        <w:bottom w:val="none" w:sz="0" w:space="0" w:color="auto"/>
        <w:right w:val="none" w:sz="0" w:space="0" w:color="auto"/>
      </w:divBdr>
    </w:div>
    <w:div w:id="119303157">
      <w:bodyDiv w:val="1"/>
      <w:marLeft w:val="0"/>
      <w:marRight w:val="0"/>
      <w:marTop w:val="0"/>
      <w:marBottom w:val="0"/>
      <w:divBdr>
        <w:top w:val="none" w:sz="0" w:space="0" w:color="auto"/>
        <w:left w:val="none" w:sz="0" w:space="0" w:color="auto"/>
        <w:bottom w:val="none" w:sz="0" w:space="0" w:color="auto"/>
        <w:right w:val="none" w:sz="0" w:space="0" w:color="auto"/>
      </w:divBdr>
    </w:div>
    <w:div w:id="325130490">
      <w:bodyDiv w:val="1"/>
      <w:marLeft w:val="0"/>
      <w:marRight w:val="0"/>
      <w:marTop w:val="0"/>
      <w:marBottom w:val="0"/>
      <w:divBdr>
        <w:top w:val="none" w:sz="0" w:space="0" w:color="auto"/>
        <w:left w:val="none" w:sz="0" w:space="0" w:color="auto"/>
        <w:bottom w:val="none" w:sz="0" w:space="0" w:color="auto"/>
        <w:right w:val="none" w:sz="0" w:space="0" w:color="auto"/>
      </w:divBdr>
    </w:div>
    <w:div w:id="1115639082">
      <w:bodyDiv w:val="1"/>
      <w:marLeft w:val="0"/>
      <w:marRight w:val="0"/>
      <w:marTop w:val="0"/>
      <w:marBottom w:val="0"/>
      <w:divBdr>
        <w:top w:val="none" w:sz="0" w:space="0" w:color="auto"/>
        <w:left w:val="none" w:sz="0" w:space="0" w:color="auto"/>
        <w:bottom w:val="none" w:sz="0" w:space="0" w:color="auto"/>
        <w:right w:val="none" w:sz="0" w:space="0" w:color="auto"/>
      </w:divBdr>
    </w:div>
    <w:div w:id="1656760253">
      <w:bodyDiv w:val="1"/>
      <w:marLeft w:val="0"/>
      <w:marRight w:val="0"/>
      <w:marTop w:val="0"/>
      <w:marBottom w:val="0"/>
      <w:divBdr>
        <w:top w:val="none" w:sz="0" w:space="0" w:color="auto"/>
        <w:left w:val="none" w:sz="0" w:space="0" w:color="auto"/>
        <w:bottom w:val="none" w:sz="0" w:space="0" w:color="auto"/>
        <w:right w:val="none" w:sz="0" w:space="0" w:color="auto"/>
      </w:divBdr>
    </w:div>
    <w:div w:id="1713117756">
      <w:bodyDiv w:val="1"/>
      <w:marLeft w:val="0"/>
      <w:marRight w:val="0"/>
      <w:marTop w:val="0"/>
      <w:marBottom w:val="0"/>
      <w:divBdr>
        <w:top w:val="none" w:sz="0" w:space="0" w:color="auto"/>
        <w:left w:val="none" w:sz="0" w:space="0" w:color="auto"/>
        <w:bottom w:val="none" w:sz="0" w:space="0" w:color="auto"/>
        <w:right w:val="none" w:sz="0" w:space="0" w:color="auto"/>
      </w:divBdr>
    </w:div>
    <w:div w:id="1878738878">
      <w:bodyDiv w:val="1"/>
      <w:marLeft w:val="0"/>
      <w:marRight w:val="0"/>
      <w:marTop w:val="0"/>
      <w:marBottom w:val="0"/>
      <w:divBdr>
        <w:top w:val="none" w:sz="0" w:space="0" w:color="auto"/>
        <w:left w:val="none" w:sz="0" w:space="0" w:color="auto"/>
        <w:bottom w:val="none" w:sz="0" w:space="0" w:color="auto"/>
        <w:right w:val="none" w:sz="0" w:space="0" w:color="auto"/>
      </w:divBdr>
    </w:div>
    <w:div w:id="2083336294">
      <w:bodyDiv w:val="1"/>
      <w:marLeft w:val="0"/>
      <w:marRight w:val="0"/>
      <w:marTop w:val="0"/>
      <w:marBottom w:val="0"/>
      <w:divBdr>
        <w:top w:val="none" w:sz="0" w:space="0" w:color="auto"/>
        <w:left w:val="none" w:sz="0" w:space="0" w:color="auto"/>
        <w:bottom w:val="none" w:sz="0" w:space="0" w:color="auto"/>
        <w:right w:val="none" w:sz="0" w:space="0" w:color="auto"/>
      </w:divBdr>
      <w:divsChild>
        <w:div w:id="1049064332">
          <w:marLeft w:val="0"/>
          <w:marRight w:val="0"/>
          <w:marTop w:val="0"/>
          <w:marBottom w:val="0"/>
          <w:divBdr>
            <w:top w:val="none" w:sz="0" w:space="0" w:color="auto"/>
            <w:left w:val="none" w:sz="0" w:space="0" w:color="auto"/>
            <w:bottom w:val="none" w:sz="0" w:space="0" w:color="auto"/>
            <w:right w:val="none" w:sz="0" w:space="0" w:color="auto"/>
          </w:divBdr>
        </w:div>
        <w:div w:id="14319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72F6-722C-4B66-AE48-D1671A43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TotalTime>
  <Pages>6</Pages>
  <Words>1739</Words>
  <Characters>9725</Characters>
  <Application>Microsoft Office Word</Application>
  <DocSecurity>0</DocSecurity>
  <Lines>202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Lanyon</dc:creator>
  <cp:keywords/>
  <dc:description/>
  <cp:lastModifiedBy>Mark Lanyon</cp:lastModifiedBy>
  <cp:revision>70</cp:revision>
  <cp:lastPrinted>2025-01-16T16:09:00Z</cp:lastPrinted>
  <dcterms:created xsi:type="dcterms:W3CDTF">2025-01-08T18:33:00Z</dcterms:created>
  <dcterms:modified xsi:type="dcterms:W3CDTF">2026-01-16T17:08:00Z</dcterms:modified>
</cp:coreProperties>
</file>